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10" w:rsidRDefault="00F46510">
      <w:bookmarkStart w:id="0" w:name="_GoBack"/>
      <w:bookmarkEnd w:id="0"/>
    </w:p>
    <w:p w:rsidR="00F46510" w:rsidRDefault="006B6E4C">
      <w:pPr>
        <w:shd w:val="clear" w:color="auto" w:fill="FFFFFF"/>
        <w:spacing w:before="480" w:after="0" w:line="240" w:lineRule="auto"/>
        <w:ind w:left="700"/>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rPr>
        <w:t>24.МОБІЛЬНА ПАЛІАТИВНА МЕДИЧНА ДОПОМОГА ДОРОСЛИМ І ДІТЯМ</w:t>
      </w:r>
    </w:p>
    <w:p w:rsidR="00F46510" w:rsidRDefault="006B6E4C">
      <w:pPr>
        <w:shd w:val="clear" w:color="auto" w:fill="FFFFFF"/>
        <w:spacing w:before="240" w:after="0" w:line="240" w:lineRule="auto"/>
        <w:ind w:firstLine="700"/>
        <w:jc w:val="center"/>
        <w:rPr>
          <w:rFonts w:ascii="Times New Roman" w:eastAsia="Times New Roman" w:hAnsi="Times New Roman" w:cs="Times New Roman"/>
        </w:rPr>
      </w:pPr>
      <w:r>
        <w:rPr>
          <w:rFonts w:ascii="Times New Roman" w:eastAsia="Times New Roman" w:hAnsi="Times New Roman" w:cs="Times New Roman"/>
          <w:b/>
          <w:color w:val="000000"/>
        </w:rPr>
        <w:t>Обсяг медичних послуг, який надавач зобов’язується надавати за договором відповідно до медичних потреб пацієнта/пацієнтки (специфікація)</w:t>
      </w:r>
      <w:r>
        <w:rPr>
          <w:rFonts w:ascii="Times New Roman" w:eastAsia="Times New Roman" w:hAnsi="Times New Roman" w:cs="Times New Roman"/>
          <w:color w:val="000000"/>
        </w:rPr>
        <w:t> </w:t>
      </w:r>
    </w:p>
    <w:p w:rsidR="00F46510" w:rsidRDefault="00F46510">
      <w:pPr>
        <w:shd w:val="clear" w:color="auto" w:fill="FFFFFF"/>
        <w:spacing w:after="0" w:line="240" w:lineRule="auto"/>
        <w:ind w:firstLine="700"/>
        <w:jc w:val="center"/>
        <w:rPr>
          <w:rFonts w:ascii="Times New Roman" w:eastAsia="Times New Roman" w:hAnsi="Times New Roman" w:cs="Times New Roman"/>
        </w:rPr>
      </w:pPr>
    </w:p>
    <w:p w:rsidR="00F46510" w:rsidRDefault="006B6E4C">
      <w:pPr>
        <w:numPr>
          <w:ilvl w:val="0"/>
          <w:numId w:val="13"/>
        </w:numPr>
        <w:shd w:val="clear" w:color="auto" w:fill="FFFFFF"/>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highlight w:val="white"/>
        </w:rPr>
        <w:t>Проведення оцінки стану пацієнта/пацієнтки відповідно до критеріїв визначення пацієнта, що потребує паліативної допомоги</w:t>
      </w:r>
      <w:r>
        <w:rPr>
          <w:rFonts w:ascii="Times New Roman" w:eastAsia="Times New Roman" w:hAnsi="Times New Roman" w:cs="Times New Roman"/>
          <w:color w:val="000000"/>
          <w:highlight w:val="white"/>
        </w:rPr>
        <w:t>.</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Оцінка соматичного стану пацієнта/пацієнтки та моніторинг порушень функцій життєво важливих органів і систем із подальшим переглядом та коригуванням при необхідності плану спостереження пацієнта/пацієнтки</w:t>
      </w:r>
      <w:r>
        <w:rPr>
          <w:rFonts w:ascii="Times New Roman" w:eastAsia="Times New Roman" w:hAnsi="Times New Roman" w:cs="Times New Roman"/>
          <w:color w:val="000000"/>
        </w:rPr>
        <w:t>.</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Складання плану спостереження пацієнта/пацієнтки, який охоплює фізичні, психологічні, емоційні, соціальні та духовні потреби пацієнта та узгоджені цілі. </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w:t>
      </w:r>
      <w:r>
        <w:rPr>
          <w:rFonts w:ascii="Times New Roman" w:eastAsia="Times New Roman" w:hAnsi="Times New Roman" w:cs="Times New Roman"/>
        </w:rPr>
        <w:t>спеціалізованої</w:t>
      </w:r>
      <w:r>
        <w:rPr>
          <w:rFonts w:ascii="Times New Roman" w:eastAsia="Times New Roman" w:hAnsi="Times New Roman" w:cs="Times New Roman"/>
          <w:color w:val="000000"/>
        </w:rPr>
        <w:t xml:space="preserve"> паліативної медичної допомоги за місцем перебування пацієнта, зокрема, зі створенням стаціонару вдома за потреби, та/або з використанням засобів телекомунікації, спрямованої на оптимізацію стану пацієнта, його функціонування та якості життя, таким групам пацієнтів:</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а.   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b.   пацієнтам з комплексними потребами, зумовленими захворюваннями, пов’язаними зі старінням.</w:t>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Оцінювання (за допомогою методів, що відповідають психосоматичним особливостям пацієнта/пацієнтки) хронічного больового синдрому та його запобігання, лікування і контроль (зокрема, призначення та виписка рецептів на наркотичні засоби, психотропні речовини та прекурсори, ненаркотичні знеболювальні засоби та проведення знеболення).</w:t>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та корекція </w:t>
      </w:r>
      <w:proofErr w:type="spellStart"/>
      <w:r>
        <w:rPr>
          <w:rFonts w:ascii="Times New Roman" w:eastAsia="Times New Roman" w:hAnsi="Times New Roman" w:cs="Times New Roman"/>
          <w:color w:val="000000"/>
        </w:rPr>
        <w:t>нутриційного</w:t>
      </w:r>
      <w:proofErr w:type="spellEnd"/>
      <w:r>
        <w:rPr>
          <w:rFonts w:ascii="Times New Roman" w:eastAsia="Times New Roman" w:hAnsi="Times New Roman" w:cs="Times New Roman"/>
          <w:color w:val="000000"/>
        </w:rPr>
        <w:t xml:space="preserve"> статусу.       </w:t>
      </w:r>
      <w:r>
        <w:rPr>
          <w:rFonts w:ascii="Times New Roman" w:eastAsia="Times New Roman" w:hAnsi="Times New Roman" w:cs="Times New Roman"/>
          <w:color w:val="000000"/>
        </w:rPr>
        <w:tab/>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Забір, транспортування біологічного матеріалу до лабораторії закладу охорони здоров’я (ЗОЗ) або ЗОЗ, з яким укладено договір підряду, для  проведення таких лабораторних досліджень, зокрема:</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розгорнутий клінічний аналіз крові;</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глюкоза в цільній крові;</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загальний аналіз сечі;</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Видача направлення та/або забір, транспортування біологічних матеріалів для проведення інших лабораторних досліджень відповідно до галузевих стандартів.</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 електрокардіографії, за місцем перебування пацієнта/пацієнтки (за можливості) та/або у ЗОЗ, на умовах оренди, підряду та інших умов  користування відповідного обладнання. </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контроль симптоматичної терапії та догляду.</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та визначення потреб пацієнта/пацієнтки в </w:t>
      </w:r>
      <w:proofErr w:type="spellStart"/>
      <w:r>
        <w:rPr>
          <w:rFonts w:ascii="Times New Roman" w:eastAsia="Times New Roman" w:hAnsi="Times New Roman" w:cs="Times New Roman"/>
          <w:color w:val="000000"/>
        </w:rPr>
        <w:t>асистивних</w:t>
      </w:r>
      <w:proofErr w:type="spellEnd"/>
      <w:r>
        <w:rPr>
          <w:rFonts w:ascii="Times New Roman" w:eastAsia="Times New Roman" w:hAnsi="Times New Roman" w:cs="Times New Roman"/>
          <w:color w:val="000000"/>
        </w:rPr>
        <w:t xml:space="preserve"> засобах для мобільності (можливості пересування пацієнта/пацієнтки та здійснення туалету). </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відповідно до Національного переліку основних лікарських засобів, медичними виробами та розхідними матеріалами під час візиту команди до пацієнта/пацієнтки за місцем його/її перебування.</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Направлення пацієнта/пацієнтки для отримання спеціалізованої</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медичної допомоги за згодою пацієнта/пацієнтки та його/її законних представників за потреби.</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невідкладної медичної допомоги пацієнту/пацієнтці при виникненні станів, що загрожують життю, під час відвідування, а також виклик бригади екстреної (швидкої) медичної допомоги ( за потреби ) та надання невідкладної медичної допомоги до її прибуття.</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Навчання членів родин пацієнта/пацієнтки (законних представників та осіб, які здійснюють догляд) навичкам догляду за паліативними пацієнтами/пацієнтками.</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w:t>
      </w:r>
    </w:p>
    <w:p w:rsidR="00F46510" w:rsidRDefault="006B6E4C">
      <w:pPr>
        <w:shd w:val="clear" w:color="auto" w:fill="FFFFFF"/>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numPr>
          <w:ilvl w:val="0"/>
          <w:numId w:val="17"/>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Проведення оцінки стану пацієнта/пацієнтки на всіх фазах (стабільній, нестабільній, погіршення, термінальній) паліативної допомоги щодо визначення його/її фізичних, когнітивних, психосоціальних та інших обмежень.</w:t>
      </w:r>
    </w:p>
    <w:p w:rsidR="00F46510" w:rsidRDefault="006B6E4C">
      <w:pPr>
        <w:numPr>
          <w:ilvl w:val="0"/>
          <w:numId w:val="17"/>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Забір, транспортування біологічного матеріалу до лабораторії закладу охорони здоров’я (ЗОЗ) або ЗОЗ, з яким укладено договір підряду, для  проведення таких лабораторних досліджень, зокрема:</w:t>
      </w:r>
    </w:p>
    <w:p w:rsidR="00F46510" w:rsidRDefault="006B6E4C">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F46510" w:rsidRDefault="006B6E4C">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F46510" w:rsidRDefault="006B6E4C">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за місцем перебування пацієнта/пацієнтки.</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за місцем перебування пацієнта/пацієнтки з метою оптимізації стану його/її здоров’я, функціонування та якості життя.</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та паліативної допомоги.</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Спостереження та контроль за пацієнтом/пацієнткою, який/яка перебуває на кисневій терапії та/або респіраторній підтримці вдома.</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Введення лікарських засобів пацієнтам з рідкісними захворюваннями в домашніх умовах (</w:t>
      </w:r>
      <w:proofErr w:type="spellStart"/>
      <w:r>
        <w:rPr>
          <w:rFonts w:ascii="Times New Roman" w:eastAsia="Times New Roman" w:hAnsi="Times New Roman" w:cs="Times New Roman"/>
          <w:color w:val="000000"/>
        </w:rPr>
        <w:t>Home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infusion</w:t>
      </w:r>
      <w:proofErr w:type="spellEnd"/>
      <w:r>
        <w:rPr>
          <w:rFonts w:ascii="Times New Roman" w:eastAsia="Times New Roman" w:hAnsi="Times New Roman" w:cs="Times New Roman"/>
          <w:color w:val="000000"/>
        </w:rPr>
        <w:t>).</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відповідно до Національного переліку основних лікарських засобів, зокрема, наркотичними засобами, медичними виробами та розхідними матеріалами під час візиту команди до пацієнта/пацієнтки за місцем його/її перебування.</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color w:val="000000"/>
        </w:rPr>
        <w:t> </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ind w:left="700"/>
        <w:jc w:val="center"/>
        <w:rPr>
          <w:rFonts w:ascii="Times New Roman" w:eastAsia="Times New Roman" w:hAnsi="Times New Roman" w:cs="Times New Roman"/>
        </w:rPr>
      </w:pPr>
      <w:r>
        <w:rPr>
          <w:rFonts w:ascii="Times New Roman" w:eastAsia="Times New Roman" w:hAnsi="Times New Roman" w:cs="Times New Roman"/>
          <w:b/>
          <w:color w:val="000000"/>
        </w:rPr>
        <w:t>МОБІЛЬНА ПАЛІАТИВНА МЕДИЧНА ДОПОМОГА ДОРОСЛИМ І ДІТЯМ</w:t>
      </w:r>
    </w:p>
    <w:p w:rsidR="00F46510" w:rsidRDefault="006B6E4C">
      <w:pPr>
        <w:shd w:val="clear" w:color="auto" w:fill="FFFFFF"/>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Умови закупівлі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Умови надання послуги</w:t>
      </w:r>
      <w:r>
        <w:rPr>
          <w:rFonts w:ascii="Times New Roman" w:eastAsia="Times New Roman" w:hAnsi="Times New Roman" w:cs="Times New Roman"/>
          <w:color w:val="000000"/>
        </w:rPr>
        <w:t>: за місцем перебування пацієнта/пацієнтки та з використанням засобів телекомунікації.</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Підстави надання послуги:</w:t>
      </w:r>
      <w:r>
        <w:rPr>
          <w:rFonts w:ascii="Times New Roman" w:eastAsia="Times New Roman" w:hAnsi="Times New Roman" w:cs="Times New Roman"/>
          <w:color w:val="000000"/>
        </w:rPr>
        <w:t> </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 xml:space="preserve">направлення лікаря з надання ПМД, якого обрано за декларацією про вибір лікаря або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направлення лікуючого лікаря або переведення з іншого ЗОЗ/клінічного підрозділу ЗОЗ під нагляд спеціалістів паліативної служби</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пацієнта, який має .</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організації надання послуги: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створеної за наказом керівника ЗОЗ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транспортного засобу для забезпечення </w:t>
      </w:r>
      <w:proofErr w:type="spellStart"/>
      <w:r>
        <w:rPr>
          <w:rFonts w:ascii="Times New Roman" w:eastAsia="Times New Roman" w:hAnsi="Times New Roman" w:cs="Times New Roman"/>
          <w:color w:val="000000"/>
        </w:rPr>
        <w:t>доїзду</w:t>
      </w:r>
      <w:proofErr w:type="spellEnd"/>
      <w:r>
        <w:rPr>
          <w:rFonts w:ascii="Times New Roman" w:eastAsia="Times New Roman" w:hAnsi="Times New Roman" w:cs="Times New Roman"/>
          <w:color w:val="000000"/>
        </w:rPr>
        <w:t xml:space="preserve"> до пацієнтів.</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Забезпечення оцінювання стану пацієнта/пацієнтки та рівня важкості моторних (фізичних) та когнітивних обмежень за шкалою </w:t>
      </w:r>
      <w:proofErr w:type="spellStart"/>
      <w:r>
        <w:rPr>
          <w:rFonts w:ascii="Times New Roman" w:eastAsia="Times New Roman" w:hAnsi="Times New Roman" w:cs="Times New Roman"/>
          <w:color w:val="000000"/>
          <w:highlight w:val="white"/>
        </w:rPr>
        <w:t>Бартела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Activities</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of</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Daily</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Living</w:t>
      </w:r>
      <w:proofErr w:type="spellEnd"/>
      <w:r>
        <w:rPr>
          <w:rFonts w:ascii="Times New Roman" w:eastAsia="Times New Roman" w:hAnsi="Times New Roman" w:cs="Times New Roman"/>
          <w:color w:val="000000"/>
          <w:highlight w:val="white"/>
        </w:rPr>
        <w:t xml:space="preserve"> (ADL), індексом </w:t>
      </w:r>
      <w:proofErr w:type="spellStart"/>
      <w:r>
        <w:rPr>
          <w:rFonts w:ascii="Times New Roman" w:eastAsia="Times New Roman" w:hAnsi="Times New Roman" w:cs="Times New Roman"/>
          <w:color w:val="000000"/>
          <w:highlight w:val="white"/>
        </w:rPr>
        <w:t>Карновського</w:t>
      </w:r>
      <w:proofErr w:type="spellEnd"/>
      <w:r>
        <w:rPr>
          <w:rFonts w:ascii="Times New Roman" w:eastAsia="Times New Roman" w:hAnsi="Times New Roman" w:cs="Times New Roman"/>
          <w:color w:val="000000"/>
          <w:highlight w:val="white"/>
        </w:rPr>
        <w:t xml:space="preserve">, шкалою потреби у наданні паліативної допомоги </w:t>
      </w:r>
      <w:r>
        <w:rPr>
          <w:rFonts w:ascii="Times New Roman" w:eastAsia="Times New Roman" w:hAnsi="Times New Roman" w:cs="Times New Roman"/>
          <w:color w:val="000000"/>
          <w:highlight w:val="white"/>
        </w:rPr>
        <w:lastRenderedPageBreak/>
        <w:t>(</w:t>
      </w:r>
      <w:proofErr w:type="spellStart"/>
      <w:r>
        <w:rPr>
          <w:rFonts w:ascii="Times New Roman" w:eastAsia="Times New Roman" w:hAnsi="Times New Roman" w:cs="Times New Roman"/>
          <w:color w:val="000000"/>
          <w:highlight w:val="white"/>
        </w:rPr>
        <w:t>Palliative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Perfomance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Scale</w:t>
      </w:r>
      <w:proofErr w:type="spellEnd"/>
      <w:r>
        <w:rPr>
          <w:rFonts w:ascii="Times New Roman" w:eastAsia="Times New Roman" w:hAnsi="Times New Roman" w:cs="Times New Roman"/>
          <w:color w:val="000000"/>
          <w:highlight w:val="white"/>
        </w:rPr>
        <w:t>, PPS), шкалою оцінки загального стану онкологічного хворого за шкалою ECOG.</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оцінювання болю за спеціалізованими шкалами, здійснення заходів щодо запобігання розвитку хронічного больового синдрому.</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забору, транспортування біологічного матеріалу до лабораторії закладу охорони здоров’я (ЗОЗ) або ЗОЗ, з яким укладено договір підряду, для  проведення лабораторних досліджень, визначених специфікаціями.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інструментальних обстежень, зокрема електрокардіографії, за місцем перебування пацієнта/пацієнтки (за можливості) та/або у ЗОЗ, на умовах оренди, підряду та інших умов  користування відповідного обладнання у ЗОЗ.</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затвердженого маршруту пацієнтів щодо їх госпіталізації  до відповідного відділення або  іншого відділення ЗОЗ для надання паліативної та/або  медичної допомоги за іншими напрямами (за потреби). </w:t>
      </w:r>
    </w:p>
    <w:p w:rsidR="00F46510" w:rsidRDefault="006B6E4C">
      <w:pPr>
        <w:numPr>
          <w:ilvl w:val="0"/>
          <w:numId w:val="20"/>
        </w:numPr>
        <w:shd w:val="clear" w:color="auto" w:fill="FFFFFF"/>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спеціалізованої паліативної медичної допомоги за місцем перебування пацієнта, зокрема, зі створенням стаціонару вдома за потреби, та/або з використанням засобів телекомунікації, спрямованої на оптимізацію стану пацієнта, його функціонування та якості життя, таким групам пацієнтів:</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а.   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b.   пацієнтам з комплексними потребами, зумовленими захворюваннями, пов’язаними зі старінням, такими як схильність до падінь, нетримання сечі, обмежена рухливість і когнітивні порушення.</w:t>
      </w:r>
    </w:p>
    <w:p w:rsidR="00F46510" w:rsidRDefault="006B6E4C">
      <w:pPr>
        <w:numPr>
          <w:ilvl w:val="0"/>
          <w:numId w:val="21"/>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w:t>
      </w:r>
    </w:p>
    <w:p w:rsidR="00F46510" w:rsidRDefault="006B6E4C">
      <w:pPr>
        <w:numPr>
          <w:ilvl w:val="0"/>
          <w:numId w:val="21"/>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Забезпечення постійного контакту з пацієнтами:</w:t>
      </w:r>
    </w:p>
    <w:p w:rsidR="00F46510" w:rsidRDefault="006B6E4C">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мінімальна кількість взаємодій за допомогою засобів телекомунікації – не менше 1 разу на тиждень з обов’язковим створенням медичного запису про медичний огляд, надання консультації або лікування</w:t>
      </w:r>
      <w:r>
        <w:rPr>
          <w:rFonts w:ascii="Times New Roman" w:eastAsia="Times New Roman" w:hAnsi="Times New Roman" w:cs="Times New Roman"/>
          <w:color w:val="000000"/>
          <w:highlight w:val="white"/>
        </w:rPr>
        <w:t>;</w:t>
      </w:r>
    </w:p>
    <w:p w:rsidR="00F46510" w:rsidRDefault="006B6E4C">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мінімальна кількість відвідувань – не менше</w:t>
      </w:r>
      <w:r>
        <w:rPr>
          <w:rFonts w:ascii="Times New Roman" w:eastAsia="Times New Roman" w:hAnsi="Times New Roman" w:cs="Times New Roman"/>
          <w:color w:val="000000"/>
          <w:highlight w:val="white"/>
        </w:rPr>
        <w:t xml:space="preserve"> ніж 4 рази</w:t>
      </w:r>
      <w:r>
        <w:rPr>
          <w:rFonts w:ascii="Times New Roman" w:eastAsia="Times New Roman" w:hAnsi="Times New Roman" w:cs="Times New Roman"/>
          <w:color w:val="000000"/>
        </w:rPr>
        <w:t xml:space="preserve"> на місяць.</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Обов’язкове інформування пацієнтів, або законного представника, щодо можливості отримання інших необхідних медичних послуг безоплатно за рахунок коштів програми медичних гарантій.</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Інформування пацієнтів щодо можливостей профілактики ускладнень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плану протиепідемічної готовності/реагування на випадок виявлення особливо небезпечних інфекційних хвороб.</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w:t>
      </w:r>
      <w:r>
        <w:rPr>
          <w:rFonts w:ascii="Times New Roman" w:eastAsia="Times New Roman" w:hAnsi="Times New Roman" w:cs="Times New Roman"/>
          <w:color w:val="000000"/>
        </w:rPr>
        <w:lastRenderedPageBreak/>
        <w:t>забезпечення прав пацієнтів на отримання медичної допомоги необхідного обсягу та належної якості.</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F46510" w:rsidRDefault="00F46510">
      <w:pPr>
        <w:shd w:val="clear" w:color="auto" w:fill="FFFFFF"/>
        <w:spacing w:after="0" w:line="240" w:lineRule="auto"/>
        <w:ind w:left="360"/>
        <w:jc w:val="both"/>
        <w:rPr>
          <w:rFonts w:ascii="Times New Roman" w:eastAsia="Times New Roman" w:hAnsi="Times New Roman" w:cs="Times New Roman"/>
          <w:b/>
          <w:i/>
          <w:color w:val="000000"/>
          <w:highlight w:val="white"/>
        </w:rPr>
      </w:pPr>
    </w:p>
    <w:p w:rsidR="00F46510" w:rsidRDefault="006B6E4C">
      <w:pPr>
        <w:shd w:val="clear" w:color="auto" w:fill="FFFFFF"/>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організації надання послуги:</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Забезпечення лікування хронічного больового синдрому (зокрема, з використанням наркотичних засобів, психотропних речовин та прекурсорів).</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 xml:space="preserve">Забезпечення 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за місцем перебування пацієнта/пацієнтки з метою оптимізації стану його/її здоров’я, функціонування та якості життя.</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та паліативної допомоги.</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Спостереження та контроль за пацієнтом/пацієнткою, який/яка перебуває на кисневій терапії та/або респіраторній підтримці вдома.</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спеціалістів та кількості фахівців, які працюють на посадах:</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За місцем надання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та/або лікар-гематолог-онколог дитячий, та/або лікар-кардіолог, та/або лікар-кардіолог дитячий, та/або </w:t>
      </w:r>
      <w:proofErr w:type="spellStart"/>
      <w:r>
        <w:rPr>
          <w:rFonts w:ascii="Times New Roman" w:eastAsia="Times New Roman" w:hAnsi="Times New Roman" w:cs="Times New Roman"/>
          <w:color w:val="000000"/>
        </w:rPr>
        <w:t>лікар-кардіоревматолог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дитячий, та/або лікар-терапевт, та/або лікар загальної практики – сімейний лікар, та/або лікар-педіатр, та/або лікар-фізіотерапевт, та/або лікар-гінеколог-онколог, та/або лікар-хірург, та/або лікар-хірург дитячий, та/або лікар-хірург-онколог, та/або лікар-уролог, та/або лікар-уролог дитячий,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цього надавача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 Брат медичний загальної практики – сімейної медицини та/або сестра медична, та/або фельдшер – щонайменше 4 особи із зазначеного переліку, які працюють за основним місцем роботи в цього надавача медичних послуг.</w:t>
      </w:r>
    </w:p>
    <w:p w:rsidR="00F46510" w:rsidRDefault="006B6E4C">
      <w:pPr>
        <w:shd w:val="clear" w:color="auto" w:fill="FFFFFF"/>
        <w:spacing w:after="0" w:line="240" w:lineRule="auto"/>
        <w:ind w:left="780" w:hanging="360"/>
        <w:jc w:val="both"/>
        <w:rPr>
          <w:rFonts w:ascii="Times New Roman" w:eastAsia="Times New Roman" w:hAnsi="Times New Roman" w:cs="Times New Roman"/>
        </w:rPr>
      </w:pPr>
      <w:r>
        <w:rPr>
          <w:rFonts w:ascii="Times New Roman" w:eastAsia="Times New Roman" w:hAnsi="Times New Roman" w:cs="Times New Roman"/>
          <w:color w:val="00000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У надавача медичних послуг: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Лікар-психолог та/або психолог, та/або лікар-психотерапевт,</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та/або психотерапевт, та/або клінічний психолог – щонайменше одна особа із зазначеного переліку, яка працює за основним місцем роботи в цього надавача медичних послуг або за сумісництвом.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спеціалізації та кількості фахівців, які працюють на посадах:</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1.За місцем надання медичних послуг:</w:t>
      </w:r>
    </w:p>
    <w:p w:rsidR="00F46510" w:rsidRDefault="006B6E4C">
      <w:pPr>
        <w:numPr>
          <w:ilvl w:val="0"/>
          <w:numId w:val="2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Сестра медична (брат медичний) загальної практики – сімейної медицини та/або сестра медична, та/або фельдшер – щонайменше 2 особи із зазначеного переліку додатково до основного переліку, які працюють за основним місцем роботи в цього надавача медичних послуг.</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У надавача медичних послуг: </w:t>
      </w:r>
    </w:p>
    <w:p w:rsidR="00F46510" w:rsidRDefault="006B6E4C">
      <w:pPr>
        <w:numPr>
          <w:ilvl w:val="0"/>
          <w:numId w:val="24"/>
        </w:numPr>
        <w:shd w:val="clear" w:color="auto" w:fill="FFFFFF"/>
        <w:spacing w:before="24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Лікар-анестезіолог та/або лікар-хірург, та/або лікар-анестезіолог дитячий, та/або лікар-хірург дитячий (за умови надання допомоги дітям) - щонайменше 2 особи із зазначеного переліку додатково до основного переліку, які працюють за основним місцем роботи в цього надавача медичних послуг або за сумісництвом.</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переліку обладнання:</w:t>
      </w:r>
    </w:p>
    <w:p w:rsidR="00F46510" w:rsidRDefault="006B6E4C">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бригади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електрокардіограф багатоканальний портативний;</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сумка-органайзер лікарська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сумка-холодильник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мішок ручної вентиляції легенів;</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аптечка для надання невідкладної допомоги.</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Додаткові вимоги до переліку обладнання:</w:t>
      </w:r>
    </w:p>
    <w:p w:rsidR="00F46510" w:rsidRDefault="006B6E4C">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бригади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апарат для CPAP-терапії;</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набір </w:t>
      </w:r>
      <w:proofErr w:type="spellStart"/>
      <w:r>
        <w:rPr>
          <w:rFonts w:ascii="Times New Roman" w:eastAsia="Times New Roman" w:hAnsi="Times New Roman" w:cs="Times New Roman"/>
          <w:color w:val="000000"/>
        </w:rPr>
        <w:t>назо-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орофарингеальних</w:t>
      </w:r>
      <w:proofErr w:type="spellEnd"/>
      <w:r>
        <w:rPr>
          <w:rFonts w:ascii="Times New Roman" w:eastAsia="Times New Roman" w:hAnsi="Times New Roman" w:cs="Times New Roman"/>
          <w:color w:val="000000"/>
        </w:rPr>
        <w:t xml:space="preserve"> повітроводів різних розмірів;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 масок для CPAP-терапії (дорослі/дитячі);</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комплект назальних </w:t>
      </w:r>
      <w:proofErr w:type="spellStart"/>
      <w:r>
        <w:rPr>
          <w:rFonts w:ascii="Times New Roman" w:eastAsia="Times New Roman" w:hAnsi="Times New Roman" w:cs="Times New Roman"/>
          <w:color w:val="000000"/>
        </w:rPr>
        <w:t>канюль</w:t>
      </w:r>
      <w:proofErr w:type="spellEnd"/>
      <w:r>
        <w:rPr>
          <w:rFonts w:ascii="Times New Roman" w:eastAsia="Times New Roman" w:hAnsi="Times New Roman" w:cs="Times New Roman"/>
          <w:color w:val="000000"/>
        </w:rPr>
        <w:t xml:space="preserve"> (дорослі, дитячі); </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кисневий концентратор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аспіратор (відсмоктувач)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автоматичний дозатор лікувальних речовин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штатив для </w:t>
      </w:r>
      <w:proofErr w:type="spellStart"/>
      <w:r>
        <w:rPr>
          <w:rFonts w:ascii="Times New Roman" w:eastAsia="Times New Roman" w:hAnsi="Times New Roman" w:cs="Times New Roman"/>
          <w:color w:val="000000"/>
        </w:rPr>
        <w:t>інфузій</w:t>
      </w:r>
      <w:proofErr w:type="spellEnd"/>
      <w:r>
        <w:rPr>
          <w:rFonts w:ascii="Times New Roman" w:eastAsia="Times New Roman" w:hAnsi="Times New Roman" w:cs="Times New Roman"/>
          <w:color w:val="000000"/>
        </w:rPr>
        <w:t xml:space="preserve"> (крапельниць)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сумка-холодильник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хірургічних інструментів для обробки ран та пролежнів;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та/або тонометр педіатричний з манжетками для дітей різного віку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мішок ручної вентиляції легенів;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аптечка для надання невідкладної допомоги.</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lastRenderedPageBreak/>
        <w:t>Інші вимоги:</w:t>
      </w:r>
    </w:p>
    <w:p w:rsidR="00F46510" w:rsidRDefault="006B6E4C">
      <w:pPr>
        <w:numPr>
          <w:ilvl w:val="0"/>
          <w:numId w:val="2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з медичної практики.</w:t>
      </w:r>
    </w:p>
    <w:p w:rsidR="00F46510" w:rsidRDefault="00F46510">
      <w:pPr>
        <w:shd w:val="clear" w:color="auto" w:fill="FFFFFF"/>
        <w:spacing w:after="0" w:line="240" w:lineRule="auto"/>
        <w:jc w:val="both"/>
        <w:rPr>
          <w:rFonts w:ascii="Times New Roman" w:eastAsia="Times New Roman" w:hAnsi="Times New Roman" w:cs="Times New Roman"/>
        </w:rPr>
      </w:pP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інші вимоги:</w:t>
      </w:r>
    </w:p>
    <w:p w:rsidR="00F46510" w:rsidRDefault="006B6E4C">
      <w:pPr>
        <w:numPr>
          <w:ilvl w:val="0"/>
          <w:numId w:val="2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у ЗОЗ рецептурних бланків форми № 1 та № 3.</w:t>
      </w:r>
    </w:p>
    <w:p w:rsidR="00F46510" w:rsidRDefault="00F46510"/>
    <w:p w:rsidR="00F46510" w:rsidRDefault="00F46510"/>
    <w:p w:rsidR="00F46510" w:rsidRDefault="00F46510"/>
    <w:p w:rsidR="00F46510" w:rsidRDefault="00F46510"/>
    <w:p w:rsidR="00F46510" w:rsidRDefault="00F46510"/>
    <w:p w:rsidR="00F46510" w:rsidRDefault="006B6E4C">
      <w:pPr>
        <w:shd w:val="clear" w:color="auto" w:fill="FFFFFF"/>
        <w:spacing w:after="0" w:line="240" w:lineRule="auto"/>
        <w:ind w:firstLine="7797"/>
        <w:jc w:val="both"/>
        <w:rPr>
          <w:rFonts w:ascii="Times New Roman" w:eastAsia="Times New Roman" w:hAnsi="Times New Roman" w:cs="Times New Roman"/>
        </w:rPr>
      </w:pPr>
      <w:r>
        <w:rPr>
          <w:rFonts w:ascii="Times New Roman" w:eastAsia="Times New Roman" w:hAnsi="Times New Roman" w:cs="Times New Roman"/>
          <w:color w:val="000000"/>
        </w:rPr>
        <w:t>Додаток 1</w:t>
      </w:r>
    </w:p>
    <w:p w:rsidR="00F46510" w:rsidRDefault="006B6E4C">
      <w:pPr>
        <w:shd w:val="clear" w:color="auto" w:fill="FFFFFF"/>
        <w:spacing w:before="140" w:after="140" w:line="240" w:lineRule="auto"/>
        <w:ind w:left="920"/>
        <w:jc w:val="center"/>
        <w:rPr>
          <w:rFonts w:ascii="Times New Roman" w:eastAsia="Times New Roman" w:hAnsi="Times New Roman" w:cs="Times New Roman"/>
          <w:b/>
        </w:rPr>
      </w:pPr>
      <w:r>
        <w:rPr>
          <w:rFonts w:ascii="Times New Roman" w:eastAsia="Times New Roman" w:hAnsi="Times New Roman" w:cs="Times New Roman"/>
          <w:b/>
          <w:color w:val="000000"/>
        </w:rPr>
        <w:t> </w:t>
      </w:r>
      <w:r>
        <w:rPr>
          <w:rFonts w:ascii="Times New Roman" w:eastAsia="Times New Roman" w:hAnsi="Times New Roman" w:cs="Times New Roman"/>
          <w:b/>
          <w:color w:val="333333"/>
          <w:highlight w:val="white"/>
        </w:rPr>
        <w:t>ШКАЛА КОМОРБІДНОСТІ</w:t>
      </w:r>
    </w:p>
    <w:p w:rsidR="00F46510" w:rsidRDefault="00F46510">
      <w:pPr>
        <w:spacing w:after="0" w:line="240" w:lineRule="auto"/>
        <w:rPr>
          <w:rFonts w:ascii="Times New Roman" w:eastAsia="Times New Roman" w:hAnsi="Times New Roman" w:cs="Times New Roman"/>
        </w:rPr>
      </w:pPr>
    </w:p>
    <w:tbl>
      <w:tblPr>
        <w:tblStyle w:val="ae"/>
        <w:tblW w:w="9629" w:type="dxa"/>
        <w:tblInd w:w="0" w:type="dxa"/>
        <w:tblLayout w:type="fixed"/>
        <w:tblLook w:val="0400" w:firstRow="0" w:lastRow="0" w:firstColumn="0" w:lastColumn="0" w:noHBand="0" w:noVBand="1"/>
      </w:tblPr>
      <w:tblGrid>
        <w:gridCol w:w="914"/>
        <w:gridCol w:w="3887"/>
        <w:gridCol w:w="3923"/>
        <w:gridCol w:w="905"/>
      </w:tblGrid>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Код 3</w:t>
            </w:r>
            <w:r>
              <w:rPr>
                <w:rFonts w:ascii="Times New Roman" w:eastAsia="Times New Roman" w:hAnsi="Times New Roman" w:cs="Times New Roman"/>
                <w:b/>
                <w:color w:val="000000"/>
              </w:rPr>
              <w:br/>
              <w:t xml:space="preserve"> рівень</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Назва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Виключення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Індекс</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бактеріальні кишкові інфекції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гастроентерит та коліт інфекційного та неуточненого походження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D64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анемії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Тиреотоксикоз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E16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внутрішньої секреції підшлункової залози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інших</w:t>
            </w:r>
            <w:r>
              <w:rPr>
                <w:rFonts w:ascii="Times New Roman" w:eastAsia="Times New Roman" w:hAnsi="Times New Roman" w:cs="Times New Roman"/>
                <w:color w:val="000000"/>
              </w:rPr>
              <w:br/>
              <w:t xml:space="preserve"> вітамінів групи 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вітаміну D</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E55.9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E86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Виснаження об'єму</w:t>
            </w:r>
            <w:r>
              <w:rPr>
                <w:rFonts w:ascii="Times New Roman" w:eastAsia="Times New Roman" w:hAnsi="Times New Roman" w:cs="Times New Roman"/>
                <w:color w:val="000000"/>
              </w:rPr>
              <w:br/>
              <w:t xml:space="preserve"> рідин організму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F00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Деменція при хворобі Альцгеймера (G30.-†)</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7,1</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Судинна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2,1</w:t>
            </w:r>
          </w:p>
        </w:tc>
      </w:tr>
      <w:tr w:rsidR="00F46510">
        <w:trPr>
          <w:trHeight w:val="195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Делірій, не спричинений алкоголем та іншими психоактивними речовинами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F10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Розлади психіки та поведінки внаслідок вживання алкоголю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F10.9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Депресивний епізод</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Паркінсона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Альцгеймера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Умовно виключено, коли використовується код G30* з будь-яким із F00* коди в тому ж епізоді</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дегенеративні хвороби нервової системи, не</w:t>
            </w:r>
            <w:r>
              <w:rPr>
                <w:rFonts w:ascii="Times New Roman" w:eastAsia="Times New Roman" w:hAnsi="Times New Roman" w:cs="Times New Roman"/>
                <w:color w:val="000000"/>
              </w:rPr>
              <w:br/>
              <w:t xml:space="preserve">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Епілепсія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Транзиторні</w:t>
            </w:r>
            <w:proofErr w:type="spellEnd"/>
            <w:r>
              <w:rPr>
                <w:rFonts w:ascii="Times New Roman" w:eastAsia="Times New Roman" w:hAnsi="Times New Roman" w:cs="Times New Roman"/>
                <w:color w:val="000000"/>
              </w:rPr>
              <w:t xml:space="preserve"> церебральні ішемічні напади та пов'язані з</w:t>
            </w:r>
            <w:r>
              <w:rPr>
                <w:rFonts w:ascii="Times New Roman" w:eastAsia="Times New Roman" w:hAnsi="Times New Roman" w:cs="Times New Roman"/>
                <w:color w:val="000000"/>
              </w:rPr>
              <w:br/>
              <w:t xml:space="preserve"> ними синдроми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G81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Геміплегія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4,4</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H54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Порушення зору, включно з бінокулярною чи монокулярною сліпотою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H54.3, H54.9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H91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Інша втрата слуху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Інфаркт головного мозку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цереброваскулярні</w:t>
            </w:r>
            <w:proofErr w:type="spellEnd"/>
            <w:r>
              <w:rPr>
                <w:rFonts w:ascii="Times New Roman" w:eastAsia="Times New Roman" w:hAnsi="Times New Roman" w:cs="Times New Roman"/>
                <w:color w:val="000000"/>
              </w:rPr>
              <w:t xml:space="preserve"> хвороби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I67.9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I95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Гіпотензія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Пневмонія, збудник не уточнений</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респіраторна інфекція нижніх дихальних шляхів,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J69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Пневмоніт</w:t>
            </w:r>
            <w:proofErr w:type="spellEnd"/>
            <w:r>
              <w:rPr>
                <w:rFonts w:ascii="Times New Roman" w:eastAsia="Times New Roman" w:hAnsi="Times New Roman" w:cs="Times New Roman"/>
                <w:color w:val="000000"/>
              </w:rPr>
              <w:t>, спричинений твердими речовинами та рідинами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J96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Дихальна недостатність,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K26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дванадцятипалої кишки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K26.9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неінфекційні гастроентерити та коліти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функціональні порушення кишечнику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K59.0, K59.1, K59.4</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K92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хвороби органів травлення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K92.9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Флегмона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L03.19, L03.9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L08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місцеві інфекції шкіри та підшкірної клітковини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L08.1, L08.8, L08.9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L89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Пролежень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1,7</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L97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нижньої кінцівки,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Поліартроз</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артроз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M19.09, M19.19, M19.29, M19.89, M19.9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M25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суглобів,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M25.09, M25.19, M25.29, M25.39, M25.49, M25.5*, M25.6*, M25.79, M25.89, M25.9*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Сколіоз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M41.09, M41.19, M41.29, M41.39, M41.49, M41.59, M41.99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спондилопатії</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M48.09, M48.19, M48.29, M48.39, M48.49, M48.59, M48.89, M48.99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M79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ураження м'яких тканин, не класифіковані в інших</w:t>
            </w:r>
            <w:r>
              <w:rPr>
                <w:rFonts w:ascii="Times New Roman" w:eastAsia="Times New Roman" w:hAnsi="Times New Roman" w:cs="Times New Roman"/>
                <w:color w:val="000000"/>
              </w:rPr>
              <w:br/>
              <w:t xml:space="preserve">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M79.0*, M79.1*, M79.29, M79.3*, M79.49, M79.59, M79.6*, M79.79, M79.86, M79.89, M79.9*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M80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Остеопороз із патологічним переломом</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M80.09, M80.19, M80.29, M80.39, M80.49, M80.59, M80.99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ниркова недостатність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Хронічна хвороба нирок</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N18.1-N18.3</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Камені нирки та </w:t>
            </w:r>
            <w:proofErr w:type="spellStart"/>
            <w:r>
              <w:rPr>
                <w:rFonts w:ascii="Times New Roman" w:eastAsia="Times New Roman" w:hAnsi="Times New Roman" w:cs="Times New Roman"/>
                <w:color w:val="000000"/>
              </w:rPr>
              <w:t>сечовода</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N28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хвороби нирки та </w:t>
            </w:r>
            <w:proofErr w:type="spellStart"/>
            <w:r>
              <w:rPr>
                <w:rFonts w:ascii="Times New Roman" w:eastAsia="Times New Roman" w:hAnsi="Times New Roman" w:cs="Times New Roman"/>
                <w:color w:val="000000"/>
              </w:rPr>
              <w:t>сечовода</w:t>
            </w:r>
            <w:proofErr w:type="spellEnd"/>
            <w:r>
              <w:rPr>
                <w:rFonts w:ascii="Times New Roman" w:eastAsia="Times New Roman" w:hAnsi="Times New Roman" w:cs="Times New Roman"/>
                <w:color w:val="000000"/>
              </w:rPr>
              <w:t>,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N28.1, N28.9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N39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розлади сечовивідної системи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N39.9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Гангрена,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Неуточнене нетримання сечі</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R40.2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Кома,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2,5</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R56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Судоми,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Внутрішньочерепна травма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S06.00</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та неуточнені травми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ребер, грудини та грудного відділу хребта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поперекового відділу хребта та кісток таза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S42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плеча та кісток плечового поясу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S51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передпліччя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S72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стегнової кістки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226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T83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Ускладнення, пов'язані з сечостатевими протезними пристроями, імплантатами та трансплантатами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Резистентність до протимікробних препаратів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bl>
    <w:p w:rsidR="00F46510" w:rsidRDefault="00F46510"/>
    <w:sectPr w:rsidR="00F46510">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auto"/>
    <w:pitch w:val="default"/>
  </w:font>
  <w:font w:name="Aptos Display">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C85"/>
    <w:multiLevelType w:val="multilevel"/>
    <w:tmpl w:val="AF5E5F3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2077D63"/>
    <w:multiLevelType w:val="multilevel"/>
    <w:tmpl w:val="3020BDA4"/>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7463072"/>
    <w:multiLevelType w:val="multilevel"/>
    <w:tmpl w:val="9168E9F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798122D"/>
    <w:multiLevelType w:val="multilevel"/>
    <w:tmpl w:val="E7401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07B2571C"/>
    <w:multiLevelType w:val="multilevel"/>
    <w:tmpl w:val="0E2E68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B417947"/>
    <w:multiLevelType w:val="multilevel"/>
    <w:tmpl w:val="FD0E93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752983"/>
    <w:multiLevelType w:val="multilevel"/>
    <w:tmpl w:val="7A022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32B14F3"/>
    <w:multiLevelType w:val="multilevel"/>
    <w:tmpl w:val="9F40FF9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3AE394C"/>
    <w:multiLevelType w:val="multilevel"/>
    <w:tmpl w:val="9ECA45D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4A708A5"/>
    <w:multiLevelType w:val="multilevel"/>
    <w:tmpl w:val="9B0EEA7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652006F"/>
    <w:multiLevelType w:val="multilevel"/>
    <w:tmpl w:val="AEFC932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A532225"/>
    <w:multiLevelType w:val="multilevel"/>
    <w:tmpl w:val="42B2F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CBB7783"/>
    <w:multiLevelType w:val="multilevel"/>
    <w:tmpl w:val="7E7A7C7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F6513A2"/>
    <w:multiLevelType w:val="multilevel"/>
    <w:tmpl w:val="C7E67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2030048E"/>
    <w:multiLevelType w:val="multilevel"/>
    <w:tmpl w:val="F64A2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21A561E2"/>
    <w:multiLevelType w:val="multilevel"/>
    <w:tmpl w:val="D43CA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CDA62F5"/>
    <w:multiLevelType w:val="multilevel"/>
    <w:tmpl w:val="32FEC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D4F720B"/>
    <w:multiLevelType w:val="multilevel"/>
    <w:tmpl w:val="9D28923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0735B2D"/>
    <w:multiLevelType w:val="multilevel"/>
    <w:tmpl w:val="1C8CA5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3A546A83"/>
    <w:multiLevelType w:val="multilevel"/>
    <w:tmpl w:val="DFBA80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3BCA77C9"/>
    <w:multiLevelType w:val="multilevel"/>
    <w:tmpl w:val="4F48F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E895B71"/>
    <w:multiLevelType w:val="multilevel"/>
    <w:tmpl w:val="83C6E0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EF462D4"/>
    <w:multiLevelType w:val="multilevel"/>
    <w:tmpl w:val="546635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F94560E"/>
    <w:multiLevelType w:val="multilevel"/>
    <w:tmpl w:val="61AC5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447F6E37"/>
    <w:multiLevelType w:val="multilevel"/>
    <w:tmpl w:val="E6BC6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B942E1C"/>
    <w:multiLevelType w:val="multilevel"/>
    <w:tmpl w:val="2954CF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4F6E0691"/>
    <w:multiLevelType w:val="multilevel"/>
    <w:tmpl w:val="2D9413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B2976AB"/>
    <w:multiLevelType w:val="multilevel"/>
    <w:tmpl w:val="B2B2CC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nsid w:val="602665CB"/>
    <w:multiLevelType w:val="multilevel"/>
    <w:tmpl w:val="E8FCB6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608F1163"/>
    <w:multiLevelType w:val="multilevel"/>
    <w:tmpl w:val="8A8A3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10D7DC6"/>
    <w:multiLevelType w:val="multilevel"/>
    <w:tmpl w:val="D11A665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1624ABA"/>
    <w:multiLevelType w:val="multilevel"/>
    <w:tmpl w:val="1FEAA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62244907"/>
    <w:multiLevelType w:val="multilevel"/>
    <w:tmpl w:val="AC34B25A"/>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4281CF1"/>
    <w:multiLevelType w:val="multilevel"/>
    <w:tmpl w:val="EC34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nsid w:val="65581AE7"/>
    <w:multiLevelType w:val="multilevel"/>
    <w:tmpl w:val="7480DB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nsid w:val="679B00F6"/>
    <w:multiLevelType w:val="multilevel"/>
    <w:tmpl w:val="19C621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6C3B6195"/>
    <w:multiLevelType w:val="multilevel"/>
    <w:tmpl w:val="962477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6E1E5326"/>
    <w:multiLevelType w:val="multilevel"/>
    <w:tmpl w:val="631A62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5A92DF5"/>
    <w:multiLevelType w:val="multilevel"/>
    <w:tmpl w:val="A568F4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6B70D63"/>
    <w:multiLevelType w:val="multilevel"/>
    <w:tmpl w:val="969E9DB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773D309F"/>
    <w:multiLevelType w:val="multilevel"/>
    <w:tmpl w:val="1CC87D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nsid w:val="77491080"/>
    <w:multiLevelType w:val="multilevel"/>
    <w:tmpl w:val="77C89A2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7D2E2093"/>
    <w:multiLevelType w:val="multilevel"/>
    <w:tmpl w:val="CCEAC0D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083C70"/>
    <w:multiLevelType w:val="multilevel"/>
    <w:tmpl w:val="9A7E50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7F7E497A"/>
    <w:multiLevelType w:val="multilevel"/>
    <w:tmpl w:val="3CDAC1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nsid w:val="7F937641"/>
    <w:multiLevelType w:val="multilevel"/>
    <w:tmpl w:val="E0C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0"/>
  </w:num>
  <w:num w:numId="2">
    <w:abstractNumId w:val="23"/>
  </w:num>
  <w:num w:numId="3">
    <w:abstractNumId w:val="44"/>
  </w:num>
  <w:num w:numId="4">
    <w:abstractNumId w:val="34"/>
  </w:num>
  <w:num w:numId="5">
    <w:abstractNumId w:val="13"/>
  </w:num>
  <w:num w:numId="6">
    <w:abstractNumId w:val="27"/>
  </w:num>
  <w:num w:numId="7">
    <w:abstractNumId w:val="31"/>
  </w:num>
  <w:num w:numId="8">
    <w:abstractNumId w:val="28"/>
  </w:num>
  <w:num w:numId="9">
    <w:abstractNumId w:val="3"/>
  </w:num>
  <w:num w:numId="10">
    <w:abstractNumId w:val="20"/>
  </w:num>
  <w:num w:numId="11">
    <w:abstractNumId w:val="15"/>
  </w:num>
  <w:num w:numId="12">
    <w:abstractNumId w:val="16"/>
  </w:num>
  <w:num w:numId="13">
    <w:abstractNumId w:val="22"/>
  </w:num>
  <w:num w:numId="14">
    <w:abstractNumId w:val="39"/>
  </w:num>
  <w:num w:numId="15">
    <w:abstractNumId w:val="7"/>
  </w:num>
  <w:num w:numId="16">
    <w:abstractNumId w:val="32"/>
  </w:num>
  <w:num w:numId="17">
    <w:abstractNumId w:val="26"/>
  </w:num>
  <w:num w:numId="18">
    <w:abstractNumId w:val="9"/>
  </w:num>
  <w:num w:numId="19">
    <w:abstractNumId w:val="25"/>
  </w:num>
  <w:num w:numId="20">
    <w:abstractNumId w:val="38"/>
  </w:num>
  <w:num w:numId="21">
    <w:abstractNumId w:val="41"/>
  </w:num>
  <w:num w:numId="22">
    <w:abstractNumId w:val="1"/>
  </w:num>
  <w:num w:numId="23">
    <w:abstractNumId w:val="30"/>
  </w:num>
  <w:num w:numId="24">
    <w:abstractNumId w:val="2"/>
  </w:num>
  <w:num w:numId="25">
    <w:abstractNumId w:val="37"/>
  </w:num>
  <w:num w:numId="26">
    <w:abstractNumId w:val="24"/>
  </w:num>
  <w:num w:numId="27">
    <w:abstractNumId w:val="43"/>
  </w:num>
  <w:num w:numId="28">
    <w:abstractNumId w:val="35"/>
  </w:num>
  <w:num w:numId="29">
    <w:abstractNumId w:val="29"/>
  </w:num>
  <w:num w:numId="30">
    <w:abstractNumId w:val="12"/>
  </w:num>
  <w:num w:numId="31">
    <w:abstractNumId w:val="18"/>
  </w:num>
  <w:num w:numId="32">
    <w:abstractNumId w:val="8"/>
  </w:num>
  <w:num w:numId="33">
    <w:abstractNumId w:val="36"/>
  </w:num>
  <w:num w:numId="34">
    <w:abstractNumId w:val="6"/>
  </w:num>
  <w:num w:numId="35">
    <w:abstractNumId w:val="5"/>
  </w:num>
  <w:num w:numId="36">
    <w:abstractNumId w:val="17"/>
  </w:num>
  <w:num w:numId="37">
    <w:abstractNumId w:val="4"/>
  </w:num>
  <w:num w:numId="38">
    <w:abstractNumId w:val="21"/>
  </w:num>
  <w:num w:numId="39">
    <w:abstractNumId w:val="0"/>
  </w:num>
  <w:num w:numId="40">
    <w:abstractNumId w:val="10"/>
  </w:num>
  <w:num w:numId="41">
    <w:abstractNumId w:val="11"/>
  </w:num>
  <w:num w:numId="42">
    <w:abstractNumId w:val="42"/>
  </w:num>
  <w:num w:numId="43">
    <w:abstractNumId w:val="19"/>
  </w:num>
  <w:num w:numId="44">
    <w:abstractNumId w:val="33"/>
  </w:num>
  <w:num w:numId="45">
    <w:abstractNumId w:val="4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10"/>
    <w:rsid w:val="000F60F0"/>
    <w:rsid w:val="006B6E4C"/>
    <w:rsid w:val="00F46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1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1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1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1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1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1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1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C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C15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15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150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150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150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15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1501"/>
    <w:rPr>
      <w:rFonts w:eastAsiaTheme="majorEastAsia" w:cstheme="majorBidi"/>
      <w:color w:val="595959" w:themeColor="text1" w:themeTint="A6"/>
    </w:rPr>
  </w:style>
  <w:style w:type="character" w:customStyle="1" w:styleId="80">
    <w:name w:val="Заголовок 8 Знак"/>
    <w:basedOn w:val="a0"/>
    <w:link w:val="8"/>
    <w:uiPriority w:val="9"/>
    <w:semiHidden/>
    <w:rsid w:val="00AC15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1501"/>
    <w:rPr>
      <w:rFonts w:eastAsiaTheme="majorEastAsia" w:cstheme="majorBidi"/>
      <w:color w:val="272727" w:themeColor="text1" w:themeTint="D8"/>
    </w:rPr>
  </w:style>
  <w:style w:type="character" w:customStyle="1" w:styleId="a4">
    <w:name w:val="Название Знак"/>
    <w:basedOn w:val="a0"/>
    <w:link w:val="a3"/>
    <w:uiPriority w:val="10"/>
    <w:rsid w:val="00AC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AC15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1501"/>
    <w:pPr>
      <w:spacing w:before="160"/>
      <w:jc w:val="center"/>
    </w:pPr>
    <w:rPr>
      <w:i/>
      <w:iCs/>
      <w:color w:val="404040" w:themeColor="text1" w:themeTint="BF"/>
    </w:rPr>
  </w:style>
  <w:style w:type="character" w:customStyle="1" w:styleId="22">
    <w:name w:val="Цитата 2 Знак"/>
    <w:basedOn w:val="a0"/>
    <w:link w:val="21"/>
    <w:uiPriority w:val="29"/>
    <w:rsid w:val="00AC1501"/>
    <w:rPr>
      <w:i/>
      <w:iCs/>
      <w:color w:val="404040" w:themeColor="text1" w:themeTint="BF"/>
    </w:rPr>
  </w:style>
  <w:style w:type="paragraph" w:styleId="a7">
    <w:name w:val="List Paragraph"/>
    <w:basedOn w:val="a"/>
    <w:uiPriority w:val="34"/>
    <w:qFormat/>
    <w:rsid w:val="00AC1501"/>
    <w:pPr>
      <w:ind w:left="720"/>
      <w:contextualSpacing/>
    </w:pPr>
  </w:style>
  <w:style w:type="character" w:styleId="a8">
    <w:name w:val="Intense Emphasis"/>
    <w:basedOn w:val="a0"/>
    <w:uiPriority w:val="21"/>
    <w:qFormat/>
    <w:rsid w:val="00AC1501"/>
    <w:rPr>
      <w:i/>
      <w:iCs/>
      <w:color w:val="0F4761" w:themeColor="accent1" w:themeShade="BF"/>
    </w:rPr>
  </w:style>
  <w:style w:type="paragraph" w:styleId="a9">
    <w:name w:val="Intense Quote"/>
    <w:basedOn w:val="a"/>
    <w:next w:val="a"/>
    <w:link w:val="aa"/>
    <w:uiPriority w:val="30"/>
    <w:qFormat/>
    <w:rsid w:val="00AC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1501"/>
    <w:rPr>
      <w:i/>
      <w:iCs/>
      <w:color w:val="0F4761" w:themeColor="accent1" w:themeShade="BF"/>
    </w:rPr>
  </w:style>
  <w:style w:type="character" w:styleId="ab">
    <w:name w:val="Intense Reference"/>
    <w:basedOn w:val="a0"/>
    <w:uiPriority w:val="32"/>
    <w:qFormat/>
    <w:rsid w:val="00AC1501"/>
    <w:rPr>
      <w:b/>
      <w:bCs/>
      <w:smallCaps/>
      <w:color w:val="0F4761" w:themeColor="accent1" w:themeShade="BF"/>
      <w:spacing w:val="5"/>
    </w:rPr>
  </w:style>
  <w:style w:type="paragraph" w:styleId="ac">
    <w:name w:val="Normal (Web)"/>
    <w:basedOn w:val="a"/>
    <w:uiPriority w:val="99"/>
    <w:semiHidden/>
    <w:unhideWhenUsed/>
    <w:rsid w:val="003266FF"/>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a0"/>
    <w:rsid w:val="003266FF"/>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1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1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1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1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1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1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1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C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C15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15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150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150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150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15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1501"/>
    <w:rPr>
      <w:rFonts w:eastAsiaTheme="majorEastAsia" w:cstheme="majorBidi"/>
      <w:color w:val="595959" w:themeColor="text1" w:themeTint="A6"/>
    </w:rPr>
  </w:style>
  <w:style w:type="character" w:customStyle="1" w:styleId="80">
    <w:name w:val="Заголовок 8 Знак"/>
    <w:basedOn w:val="a0"/>
    <w:link w:val="8"/>
    <w:uiPriority w:val="9"/>
    <w:semiHidden/>
    <w:rsid w:val="00AC15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1501"/>
    <w:rPr>
      <w:rFonts w:eastAsiaTheme="majorEastAsia" w:cstheme="majorBidi"/>
      <w:color w:val="272727" w:themeColor="text1" w:themeTint="D8"/>
    </w:rPr>
  </w:style>
  <w:style w:type="character" w:customStyle="1" w:styleId="a4">
    <w:name w:val="Название Знак"/>
    <w:basedOn w:val="a0"/>
    <w:link w:val="a3"/>
    <w:uiPriority w:val="10"/>
    <w:rsid w:val="00AC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AC15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1501"/>
    <w:pPr>
      <w:spacing w:before="160"/>
      <w:jc w:val="center"/>
    </w:pPr>
    <w:rPr>
      <w:i/>
      <w:iCs/>
      <w:color w:val="404040" w:themeColor="text1" w:themeTint="BF"/>
    </w:rPr>
  </w:style>
  <w:style w:type="character" w:customStyle="1" w:styleId="22">
    <w:name w:val="Цитата 2 Знак"/>
    <w:basedOn w:val="a0"/>
    <w:link w:val="21"/>
    <w:uiPriority w:val="29"/>
    <w:rsid w:val="00AC1501"/>
    <w:rPr>
      <w:i/>
      <w:iCs/>
      <w:color w:val="404040" w:themeColor="text1" w:themeTint="BF"/>
    </w:rPr>
  </w:style>
  <w:style w:type="paragraph" w:styleId="a7">
    <w:name w:val="List Paragraph"/>
    <w:basedOn w:val="a"/>
    <w:uiPriority w:val="34"/>
    <w:qFormat/>
    <w:rsid w:val="00AC1501"/>
    <w:pPr>
      <w:ind w:left="720"/>
      <w:contextualSpacing/>
    </w:pPr>
  </w:style>
  <w:style w:type="character" w:styleId="a8">
    <w:name w:val="Intense Emphasis"/>
    <w:basedOn w:val="a0"/>
    <w:uiPriority w:val="21"/>
    <w:qFormat/>
    <w:rsid w:val="00AC1501"/>
    <w:rPr>
      <w:i/>
      <w:iCs/>
      <w:color w:val="0F4761" w:themeColor="accent1" w:themeShade="BF"/>
    </w:rPr>
  </w:style>
  <w:style w:type="paragraph" w:styleId="a9">
    <w:name w:val="Intense Quote"/>
    <w:basedOn w:val="a"/>
    <w:next w:val="a"/>
    <w:link w:val="aa"/>
    <w:uiPriority w:val="30"/>
    <w:qFormat/>
    <w:rsid w:val="00AC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1501"/>
    <w:rPr>
      <w:i/>
      <w:iCs/>
      <w:color w:val="0F4761" w:themeColor="accent1" w:themeShade="BF"/>
    </w:rPr>
  </w:style>
  <w:style w:type="character" w:styleId="ab">
    <w:name w:val="Intense Reference"/>
    <w:basedOn w:val="a0"/>
    <w:uiPriority w:val="32"/>
    <w:qFormat/>
    <w:rsid w:val="00AC1501"/>
    <w:rPr>
      <w:b/>
      <w:bCs/>
      <w:smallCaps/>
      <w:color w:val="0F4761" w:themeColor="accent1" w:themeShade="BF"/>
      <w:spacing w:val="5"/>
    </w:rPr>
  </w:style>
  <w:style w:type="paragraph" w:styleId="ac">
    <w:name w:val="Normal (Web)"/>
    <w:basedOn w:val="a"/>
    <w:uiPriority w:val="99"/>
    <w:semiHidden/>
    <w:unhideWhenUsed/>
    <w:rsid w:val="003266FF"/>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a0"/>
    <w:rsid w:val="003266FF"/>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EGTd1ZiCxSRPllIegszOireuA==">CgMxLjA4AGo3ChRzdWdnZXN0LngxMmdwOTVmYm1icBIf0JDQu9GM0LHRltC90LAg0JLQvtC70L7RiNC40L3QsGo3ChRzdWdnZXN0LjJucGhtbHo2em94ehIf0JDQu9GM0LHRltC90LAg0JLQvtC70L7RiNC40L3QsHIhMVVDdjR0aURtVWIyZ1NiNEZwVzQ1MS1qMlpZNms3eU1m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18120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NHSU</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Альбіна Волошина</dc:creator>
  <cp:lastModifiedBy>subscribe18</cp:lastModifiedBy>
  <cp:revision>2</cp:revision>
  <dcterms:created xsi:type="dcterms:W3CDTF">2024-12-05T11:50:00Z</dcterms:created>
  <dcterms:modified xsi:type="dcterms:W3CDTF">2024-12-05T11:50:00Z</dcterms:modified>
</cp:coreProperties>
</file>