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1"/>
        <w:spacing w:lineRule="auto" w:line="240" w:beforeAutospacing="0" w:afterAutospacing="0"/>
        <w:jc w:val="center"/>
        <w:rPr>
          <w:rFonts w:ascii="Times New Roman" w:hAnsi="Times New Roman"/>
          <w:sz w:val="24"/>
          <w:szCs w:val="24"/>
        </w:rPr>
      </w:pPr>
      <w:r>
        <w:rPr>
          <w:rFonts w:ascii="Times New Roman" w:hAnsi="Times New Roman"/>
          <w:sz w:val="24"/>
          <w:szCs w:val="24"/>
        </w:rPr>
        <w:t>ПЕРВИННА МЕДИЧНА ДОПОМОГА</w:t>
      </w:r>
    </w:p>
    <w:p>
      <w:pPr>
        <w:spacing w:lineRule="auto" w:line="240" w:before="240" w:after="0" w:beforeAutospacing="0" w:afterAutospacing="0"/>
        <w:ind w:left="360"/>
        <w:jc w:val="center"/>
        <w:rPr>
          <w:rFonts w:ascii="Times New Roman" w:hAnsi="Times New Roman"/>
          <w:sz w:val="24"/>
          <w:szCs w:val="24"/>
        </w:rPr>
      </w:pPr>
      <w:r>
        <w:rPr>
          <w:rFonts w:ascii="Times New Roman" w:hAnsi="Times New Roman"/>
          <w:b w:val="1"/>
          <w:color w:val="000000"/>
          <w:sz w:val="24"/>
          <w:szCs w:val="24"/>
          <w:highlight w:val="white"/>
        </w:rPr>
        <w:t>Обсяг медичних послуг, який надавач зобов’язується надавати за договором відповідно до медичних потреб пацієнта/пацієнтки (специфікація)</w:t>
      </w:r>
    </w:p>
    <w:p>
      <w:pPr>
        <w:spacing w:lineRule="auto" w:line="240" w:before="240" w:after="0" w:beforeAutospacing="0" w:afterAutospacing="0"/>
        <w:rPr>
          <w:rFonts w:ascii="Times New Roman" w:hAnsi="Times New Roman"/>
          <w:sz w:val="24"/>
          <w:szCs w:val="24"/>
        </w:rPr>
      </w:pPr>
      <w:r>
        <w:rPr>
          <w:rFonts w:ascii="Times New Roman" w:hAnsi="Times New Roman"/>
          <w:color w:val="000000"/>
          <w:sz w:val="24"/>
          <w:szCs w:val="24"/>
        </w:rPr>
        <w:t> </w:t>
      </w:r>
    </w:p>
    <w:p>
      <w:pPr>
        <w:numPr>
          <w:ilvl w:val="0"/>
          <w:numId w:val="1"/>
        </w:numPr>
        <w:shd w:val="clear" w:fill="FFFFFF"/>
        <w:spacing w:lineRule="auto" w:line="240" w:after="0" w:beforeAutospacing="0" w:afterAutospacing="0"/>
        <w:jc w:val="both"/>
        <w:rPr>
          <w:rFonts w:ascii="Times New Roman" w:hAnsi="Times New Roman"/>
        </w:rPr>
      </w:pPr>
      <w:r>
        <w:rPr>
          <w:rFonts w:ascii="Times New Roman" w:hAnsi="Times New Roman"/>
          <w:sz w:val="24"/>
          <w:szCs w:val="24"/>
        </w:rPr>
        <w:t>Динамічне спостереження за станом здоров’я пацієнта/пацієнтки із використанням фізикальних, лабораторних та інструментальних методів обстеження відповідно до галузевих стандартів у сфері охорони здоров’я.</w:t>
      </w:r>
    </w:p>
    <w:p>
      <w:pPr>
        <w:numPr>
          <w:ilvl w:val="0"/>
          <w:numId w:val="1"/>
        </w:numPr>
        <w:shd w:val="clear" w:fill="FFFFFF"/>
        <w:spacing w:lineRule="auto" w:line="240" w:after="0" w:beforeAutospacing="0" w:afterAutospacing="0"/>
        <w:jc w:val="both"/>
        <w:rPr>
          <w:rFonts w:ascii="Times New Roman" w:hAnsi="Times New Roman"/>
        </w:rPr>
      </w:pPr>
      <w:r>
        <w:rPr>
          <w:rFonts w:ascii="Times New Roman" w:hAnsi="Times New Roman"/>
          <w:sz w:val="24"/>
          <w:szCs w:val="24"/>
        </w:rPr>
        <w:t xml:space="preserve">Діагностика та лікування найбільш поширених інфекційних і неінфекційних хвороб, травм, отруєнь, патологічних, фізіологічних  станів.</w:t>
      </w:r>
    </w:p>
    <w:p>
      <w:pPr>
        <w:numPr>
          <w:ilvl w:val="0"/>
          <w:numId w:val="1"/>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Діагностика, лікування хронічних захворювань та динамічне спостереження за пацієнтами з даними захворюваннями.</w:t>
      </w:r>
    </w:p>
    <w:p>
      <w:pPr>
        <w:numPr>
          <w:ilvl w:val="0"/>
          <w:numId w:val="1"/>
        </w:numPr>
        <w:shd w:val="clear" w:fill="FFFFFF"/>
        <w:spacing w:lineRule="auto" w:line="240" w:after="0" w:beforeAutospacing="0" w:afterAutospacing="0"/>
        <w:jc w:val="both"/>
        <w:rPr>
          <w:rFonts w:ascii="Times New Roman" w:hAnsi="Times New Roman"/>
        </w:rPr>
      </w:pPr>
      <w:r>
        <w:rPr>
          <w:rFonts w:ascii="Times New Roman" w:hAnsi="Times New Roman"/>
          <w:sz w:val="24"/>
          <w:szCs w:val="24"/>
        </w:rPr>
        <w:t>Проведення лабораторних досліджень відповідно до галузевих стандартів у сфері охорони здоров’я, зокрема: </w:t>
      </w:r>
    </w:p>
    <w:p>
      <w:pPr>
        <w:numPr>
          <w:ilvl w:val="0"/>
          <w:numId w:val="11"/>
        </w:numPr>
        <w:shd w:val="clear" w:fill="FFFFFF"/>
        <w:spacing w:lineRule="auto" w:line="240" w:after="0" w:beforeAutospacing="0" w:afterAutospacing="0"/>
        <w:ind w:left="1417"/>
        <w:jc w:val="both"/>
        <w:rPr>
          <w:rFonts w:ascii="Times New Roman" w:hAnsi="Times New Roman"/>
          <w:sz w:val="24"/>
          <w:szCs w:val="24"/>
        </w:rPr>
      </w:pPr>
      <w:r>
        <w:rPr>
          <w:rFonts w:ascii="Times New Roman" w:hAnsi="Times New Roman"/>
          <w:sz w:val="24"/>
          <w:szCs w:val="24"/>
        </w:rPr>
        <w:t>загальний аналіз крові з лейкоцитарною формулою (еритроцити, гемоглобін, гематокрит, тромбоцити, лейкоцити, базофіли, еозинофіли, сегментоядерні нейтрофіли, паличкоядерні нейтрофіли, лімфоцити, моноцити); </w:t>
      </w:r>
    </w:p>
    <w:p>
      <w:pPr>
        <w:numPr>
          <w:ilvl w:val="0"/>
          <w:numId w:val="11"/>
        </w:numPr>
        <w:shd w:val="clear" w:fill="FFFFFF"/>
        <w:spacing w:lineRule="auto" w:line="240" w:after="0" w:beforeAutospacing="0" w:afterAutospacing="0"/>
        <w:ind w:left="1417"/>
        <w:jc w:val="both"/>
        <w:rPr>
          <w:rFonts w:ascii="Times New Roman" w:hAnsi="Times New Roman"/>
          <w:sz w:val="24"/>
          <w:szCs w:val="24"/>
        </w:rPr>
      </w:pPr>
      <w:r>
        <w:rPr>
          <w:rFonts w:ascii="Times New Roman" w:hAnsi="Times New Roman"/>
          <w:sz w:val="24"/>
          <w:szCs w:val="24"/>
        </w:rPr>
        <w:t>загальний аналіз сечі (колір, прозорість, реакція (pH), відносна щільність, білок, глюкоза, еритроцити, лейкоцити, епітеліальні клітини, циліндри, солі, бактерії, ацетон (кетонові тіла));</w:t>
      </w:r>
    </w:p>
    <w:p>
      <w:pPr>
        <w:numPr>
          <w:ilvl w:val="0"/>
          <w:numId w:val="11"/>
        </w:numPr>
        <w:shd w:val="clear" w:fill="FFFFFF"/>
        <w:spacing w:lineRule="auto" w:line="240" w:after="0" w:beforeAutospacing="0" w:afterAutospacing="0"/>
        <w:ind w:left="1417"/>
        <w:jc w:val="both"/>
        <w:rPr>
          <w:rFonts w:ascii="Times New Roman" w:hAnsi="Times New Roman"/>
          <w:sz w:val="24"/>
          <w:szCs w:val="24"/>
        </w:rPr>
      </w:pPr>
      <w:r>
        <w:rPr>
          <w:rFonts w:ascii="Times New Roman" w:hAnsi="Times New Roman"/>
          <w:sz w:val="24"/>
          <w:szCs w:val="24"/>
        </w:rPr>
        <w:t>глюкоза в цільній крові;</w:t>
      </w:r>
    </w:p>
    <w:p>
      <w:pPr>
        <w:numPr>
          <w:ilvl w:val="0"/>
          <w:numId w:val="11"/>
        </w:numPr>
        <w:shd w:val="clear" w:fill="FFFFFF"/>
        <w:spacing w:lineRule="auto" w:line="240" w:after="0" w:beforeAutospacing="0" w:afterAutospacing="0"/>
        <w:ind w:left="1417"/>
        <w:jc w:val="both"/>
        <w:rPr>
          <w:rFonts w:ascii="Times New Roman" w:hAnsi="Times New Roman"/>
          <w:sz w:val="24"/>
          <w:szCs w:val="24"/>
        </w:rPr>
      </w:pPr>
      <w:r>
        <w:rPr>
          <w:rFonts w:ascii="Times New Roman" w:hAnsi="Times New Roman"/>
          <w:sz w:val="24"/>
          <w:szCs w:val="24"/>
        </w:rPr>
        <w:t>холестерин загальний;</w:t>
      </w:r>
    </w:p>
    <w:p>
      <w:pPr>
        <w:numPr>
          <w:ilvl w:val="0"/>
          <w:numId w:val="11"/>
        </w:numPr>
        <w:shd w:val="clear" w:fill="FFFFFF"/>
        <w:spacing w:lineRule="auto" w:line="240" w:after="0" w:beforeAutospacing="0" w:afterAutospacing="0"/>
        <w:ind w:left="1417"/>
        <w:jc w:val="both"/>
        <w:rPr>
          <w:rFonts w:ascii="Times New Roman" w:hAnsi="Times New Roman"/>
          <w:sz w:val="24"/>
          <w:szCs w:val="24"/>
        </w:rPr>
      </w:pPr>
      <w:r>
        <w:rPr>
          <w:rFonts w:ascii="Times New Roman" w:hAnsi="Times New Roman"/>
          <w:sz w:val="24"/>
          <w:szCs w:val="24"/>
        </w:rPr>
        <w:t xml:space="preserve">швидкі тести на вагітність, тропонін, ВІЛ, вірусні гепатити В і С, </w:t>
      </w:r>
      <w:r>
        <w:rPr>
          <w:rFonts w:ascii="Times New Roman" w:hAnsi="Times New Roman"/>
          <w:color w:val="444746"/>
          <w:sz w:val="24"/>
          <w:szCs w:val="24"/>
        </w:rPr>
        <w:t>SARS-CoV-2</w:t>
      </w:r>
      <w:r>
        <w:rPr>
          <w:rFonts w:ascii="Times New Roman" w:hAnsi="Times New Roman"/>
          <w:sz w:val="24"/>
          <w:szCs w:val="24"/>
        </w:rPr>
        <w:t>.</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інструментальних досліджень, зокрема електрокардіографії, пікфлуометрії, отоскопії, офтальмоскопії, камертональні тести, а також вимірювання гостроти зору.</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Динамічне спостереження за жінкою з неускладненим перебігом вагітності та  направлення її до лікаря-акушера-гінеколога </w:t>
      </w:r>
      <w:r>
        <w:rPr>
          <w:rFonts w:ascii="Times New Roman" w:hAnsi="Times New Roman"/>
          <w:b w:val="1"/>
          <w:sz w:val="24"/>
          <w:szCs w:val="24"/>
          <w:highlight w:val="white"/>
        </w:rPr>
        <w:t>відповідно до галузевих стандарті</w:t>
      </w:r>
      <w:r>
        <w:rPr>
          <w:rFonts w:ascii="Times New Roman" w:hAnsi="Times New Roman"/>
          <w:b w:val="1"/>
          <w:sz w:val="24"/>
          <w:szCs w:val="24"/>
        </w:rPr>
        <w:t>в</w:t>
      </w:r>
      <w:r>
        <w:rPr>
          <w:rFonts w:ascii="Times New Roman" w:hAnsi="Times New Roman"/>
          <w:sz w:val="24"/>
          <w:szCs w:val="24"/>
        </w:rPr>
        <w:t>.</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Здійснення медичного спостереження за здоровою дитиною та надання рекомендацій батькам/опікунам щодо необхідності грудного вигодовування, правильного харчування та догляду за здоровою дитиною відповідно до галузевих стандартів у сфері охорони здоров’я.</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b w:val="1"/>
          <w:sz w:val="24"/>
          <w:szCs w:val="24"/>
        </w:rPr>
        <w:t>Надання окремих послуг з питань психічного здоров’я, зокрема</w:t>
      </w:r>
      <w:r>
        <w:rPr>
          <w:rFonts w:ascii="Times New Roman" w:hAnsi="Times New Roman"/>
          <w:sz w:val="24"/>
          <w:szCs w:val="24"/>
        </w:rPr>
        <w:t>:</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проведення скринінгу на виявлення розладів психічного здоров’я (клінічно діагностованих розладів, які суттєво впливають на когнітивні, емоційні або соціальні здібності людини),  а також неврологічних розладів та розладів, пов'язаних з вживанням психоактивних речовин (ПНПР-розлади) у пацієнта/пацієнтки; </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надання екстреної (кризової) психосоціальної допомоги </w:t>
      </w:r>
      <w:r>
        <w:rPr>
          <w:rFonts w:ascii="Times New Roman" w:hAnsi="Times New Roman"/>
          <w:color w:val="333333"/>
          <w:sz w:val="24"/>
          <w:szCs w:val="24"/>
          <w:highlight w:val="white"/>
        </w:rPr>
        <w:t xml:space="preserve">у разі гострої стресової реакції чи гострого переживання кризи </w:t>
      </w:r>
      <w:r>
        <w:rPr>
          <w:rFonts w:ascii="Times New Roman" w:hAnsi="Times New Roman"/>
          <w:sz w:val="24"/>
          <w:szCs w:val="24"/>
        </w:rPr>
        <w:t>з метою стабілізації психічного стану (в межах компетенції сімейного лікаря);</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надання психосоціальної допомоги з метою </w:t>
      </w:r>
      <w:r>
        <w:rPr>
          <w:rFonts w:ascii="Times New Roman" w:hAnsi="Times New Roman"/>
          <w:sz w:val="24"/>
          <w:szCs w:val="24"/>
          <w:highlight w:val="white"/>
        </w:rPr>
        <w:t>недопущення загострення психосоціальних проблем, перетворення їх у хронічні форми чи попередження розвитку психічних та поведінкових розладів або інших проблем психічного здоров'я;</w:t>
      </w:r>
      <w:r>
        <w:rPr>
          <w:rFonts w:ascii="Times New Roman" w:hAnsi="Times New Roman"/>
          <w:color w:val="333333"/>
          <w:sz w:val="24"/>
          <w:szCs w:val="24"/>
          <w:highlight w:val="white"/>
        </w:rPr>
        <w:t xml:space="preserve"> </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ведення пацієнта/пацієнтки з ПНПР-розладами із застосуванням фармакотерапії та наданням психосоціальної допомоги в межах компетенції сімейного лікаря відповідно до НПА та програми mhGAP; </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здійснення профілактичних заходів щодо груп, сімей та окремих осіб, які мають найвищий ризик потрапляння у складні життєві обставини через вилив несприятливих зовнішніх та/або внутрішніх факторів;</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видача за необхідності направлення пацієнту/пацієнтці з ПНПР-розладами за його/її згодою  та/або його/її законного представника до лікаря-психіатра та/або лікаря-психіатра дитячого, та/або лікаря-нарколога щодо консультування та лікування пацієнта/пацієнтки;</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підвищення обізнаності, заохочення та супровід населення щодо збереження психічного здоров’я та добробуту.</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Виявлення у пацієнта/пацієнтки  індивідуального ризику </w:t>
      </w:r>
      <w:r>
        <w:rPr>
          <w:rFonts w:ascii="Times New Roman" w:hAnsi="Times New Roman"/>
          <w:b w:val="1"/>
          <w:sz w:val="24"/>
          <w:szCs w:val="24"/>
        </w:rPr>
        <w:t>виникнення</w:t>
      </w:r>
      <w:r>
        <w:rPr>
          <w:rFonts w:ascii="Times New Roman" w:hAnsi="Times New Roman"/>
          <w:sz w:val="24"/>
          <w:szCs w:val="24"/>
        </w:rPr>
        <w:t xml:space="preserve">: </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інфекційних захворювань (ВІЛ, вірусних гепатитів, інфекції, що передаються статевим шляхом, тощо) </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неінфекційних (серцево-судинних, хронічних респіраторних, онкологічних, діабету тощо) захворювань шляхом проведення скринінгових анкетувань, оцінювання загального серцево-судинного ризику за шкалою SCORE, індексу маси тіла, окружності талії тощо.</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Профілактика, діагностика та раннє виявлення інфекційних захворювань (ВІЛ, гепатити, інфекції, що передаються статевим шляхом, тощо). </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b w:val="1"/>
          <w:sz w:val="24"/>
          <w:szCs w:val="24"/>
        </w:rPr>
        <w:t xml:space="preserve">Профілактика, діагностика та раннє виявлення  туберкульозу , а саме:</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здійснення активного та пасивного виявлення </w:t>
      </w:r>
      <w:r>
        <w:rPr>
          <w:rFonts w:ascii="Times New Roman" w:hAnsi="Times New Roman"/>
          <w:b w:val="1"/>
          <w:sz w:val="24"/>
          <w:szCs w:val="24"/>
        </w:rPr>
        <w:t>туберкульозу</w:t>
      </w:r>
      <w:r>
        <w:rPr>
          <w:rFonts w:ascii="Times New Roman" w:hAnsi="Times New Roman"/>
          <w:sz w:val="24"/>
          <w:szCs w:val="24"/>
        </w:rPr>
        <w:t xml:space="preserve"> та </w:t>
      </w:r>
      <w:r>
        <w:rPr>
          <w:rFonts w:ascii="Times New Roman" w:hAnsi="Times New Roman"/>
          <w:b w:val="1"/>
          <w:sz w:val="24"/>
          <w:szCs w:val="24"/>
        </w:rPr>
        <w:t>латентної туберкульозної інфекції (ЛТБІ)</w:t>
      </w:r>
      <w:r>
        <w:rPr>
          <w:rFonts w:ascii="Times New Roman" w:hAnsi="Times New Roman"/>
          <w:sz w:val="24"/>
          <w:szCs w:val="24"/>
        </w:rPr>
        <w:t>;</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забезпечення організації та проведення додаткового клініко-інструментального обстеження осіб із симптомами, що можуть свідчити про захворювання на </w:t>
      </w:r>
      <w:r>
        <w:rPr>
          <w:rFonts w:ascii="Times New Roman" w:hAnsi="Times New Roman"/>
          <w:b w:val="1"/>
          <w:sz w:val="24"/>
          <w:szCs w:val="24"/>
        </w:rPr>
        <w:t>туберкульо</w:t>
      </w:r>
      <w:r>
        <w:rPr>
          <w:rFonts w:ascii="Times New Roman" w:hAnsi="Times New Roman"/>
          <w:b w:val="1"/>
          <w:sz w:val="24"/>
          <w:szCs w:val="24"/>
          <w:highlight w:val="white"/>
        </w:rPr>
        <w:t>з</w:t>
      </w:r>
      <w:r>
        <w:rPr>
          <w:rFonts w:ascii="Times New Roman" w:hAnsi="Times New Roman"/>
          <w:sz w:val="24"/>
          <w:szCs w:val="24"/>
          <w:highlight w:val="white"/>
        </w:rPr>
        <w:t>;</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надання медичних послуг з діагностики та лікування ЛТБІ </w:t>
      </w:r>
      <w:r>
        <w:rPr>
          <w:rFonts w:ascii="Times New Roman" w:hAnsi="Times New Roman"/>
          <w:sz w:val="24"/>
          <w:szCs w:val="24"/>
          <w:highlight w:val="white"/>
        </w:rPr>
        <w:t>(відповідно до</w:t>
      </w:r>
      <w:r>
        <w:rPr>
          <w:rFonts w:ascii="Times New Roman" w:hAnsi="Times New Roman"/>
          <w:sz w:val="24"/>
          <w:szCs w:val="24"/>
          <w:highlight w:val="yellow"/>
        </w:rPr>
        <w:t xml:space="preserve"> </w:t>
      </w:r>
      <w:r>
        <w:rPr>
          <w:rFonts w:ascii="Times New Roman" w:hAnsi="Times New Roman"/>
          <w:sz w:val="24"/>
          <w:szCs w:val="24"/>
        </w:rPr>
        <w:t>галузевих стандартів у сфері охорони здоров’я);</w:t>
      </w:r>
    </w:p>
    <w:p>
      <w:pPr>
        <w:numPr>
          <w:ilvl w:val="0"/>
          <w:numId w:val="19"/>
        </w:numPr>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організація виявлення та обстеження контактних щодо туберкульозу осіб, зокрема, із залученням лікарів-фтизіатрів, які надають амбулаторну спеціалізовану медичну допомогу на базі інших ЗОЗ, та фахівців територіального закладу громадського здоров’я.</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Надання окремих послуг </w:t>
      </w:r>
      <w:r>
        <w:rPr>
          <w:rFonts w:ascii="Times New Roman" w:hAnsi="Times New Roman"/>
          <w:i w:val="1"/>
          <w:sz w:val="24"/>
          <w:szCs w:val="24"/>
        </w:rPr>
        <w:t xml:space="preserve">паліативної допомоги </w:t>
      </w:r>
      <w:r>
        <w:rPr>
          <w:rFonts w:ascii="Times New Roman" w:hAnsi="Times New Roman"/>
          <w:sz w:val="24"/>
          <w:szCs w:val="24"/>
        </w:rPr>
        <w:t xml:space="preserve">дорослим та дітям, а саме: </w:t>
      </w:r>
    </w:p>
    <w:p>
      <w:pPr>
        <w:numPr>
          <w:ilvl w:val="0"/>
          <w:numId w:val="13"/>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оцінка стану пацієнта/пацієнтки, що потребує паліативної допомоги, та визначення його/її потреб; </w:t>
      </w:r>
    </w:p>
    <w:p>
      <w:pPr>
        <w:numPr>
          <w:ilvl w:val="0"/>
          <w:numId w:val="13"/>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оцінка ступеня болю та лікування больового синдрому; </w:t>
      </w:r>
    </w:p>
    <w:p>
      <w:pPr>
        <w:numPr>
          <w:ilvl w:val="0"/>
          <w:numId w:val="13"/>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виписка рецептів для лікування больового синдрому, включаючи опіоїди та інші лікарські засоби, що визначені Національним переліком основних лікарських засобів; </w:t>
      </w:r>
    </w:p>
    <w:p>
      <w:pPr>
        <w:numPr>
          <w:ilvl w:val="0"/>
          <w:numId w:val="13"/>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призначення лікування для подолання супутніх симптомів (закрепи, нудота, задуха тощо); </w:t>
      </w:r>
    </w:p>
    <w:p>
      <w:pPr>
        <w:numPr>
          <w:ilvl w:val="0"/>
          <w:numId w:val="13"/>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координація та співпраця з іншими установами для забезпечення медичних, психологічних, соціальних та інших потреб пацієнта/пацієнтки.</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Надання невідкладної медичної допомоги пацієнту/пацієнтці у разі розладу фізичного чи психічного здоров’я, якщо такий розлад стався під час прийому у лікаря ПМД.</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Виклик бригади екстреної (швидкої) медичної допомоги до пацієнта/пацієнтки, який/яка перебуває у загрозливому для життя стані, та надання йому/їй відповідної медичної допомоги до її прибуття в межах робочого часу надавача ПМД та відповідно при визначенні такої потреби під час надання медичних послуг за місцем розташування надавача або проживання/перебування пацієнта/пацієнтки.</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профілактичних заходів, спрямованих на зменшення інфекційних захворювань серед дорослого та дитячого населення, зокрема вакцинації згідно з календарем профілактичних щеплень (вакцинація за віком, вакцинація за станом здоров’я, вакцинація за епідемічними показаннями, щеплення дітей з порушенням календаря, рекомендованих щеплень та екстреної імунопрофілактики (крім сказу). </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highlight w:val="white"/>
        </w:rPr>
        <w:t>Надання консультативної допомоги населенню щодо здорового способу життя, заходів загальної гігієни та бар’єрних заходів захисту (використання засобів індивідуального захисту, у тому числі презервативів), наслідків нездорового способу життя, важливості відмови від куріння та ризиків зловживання алкоголем, важливості збільшення фізичної активності та здорового харчування, вакцинації.</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Призначення лікарських засобів пацієнту/пацієнтці, а також  визначення його/її потреби в медичних виробах з подальшим оформленням відповідних документів для їх отримання згідно з вимогами законодавства.</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Виписування рецептів для отримання лікарських засобів, які передбачені програмою реімбурсації, та для пільгового забезпечення лікарськими засобами окремих груп населення за певними категоріями захворювань відповідно до чинного законодавства.</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Надання медичної допомоги методами і засобами телемедицини в дистанційний спосіб  (телеконсультування/телевідеоконсультування у режимі реального або відкладеного часу, теледіагностики, спостереження у режимі віддаленого моніторингу,) разом з обстеженням, та із застосуванням інших методів, що не суперечать законодавству, з обов’язковим створенням медичного запису про медичний огляд, надання консультації або лікування відповідно до Порядку ведення Реєстру медичних записів, записів про направлення та рецептів в електронній системі охорони здоров’я.</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можливості запису на прийом до лікаря для отримання пацієнтом медичної допомоги із застосуванням телемедицини особисто, по телефону, електронною поштою або системами електронної охорони здоров’я та іншими доступними технічними засобами електронних комунікацій.</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Видача довідок, медичних висновків про тимчасову непрацездатність, направлень для проходження медико-соціальної експертизи, а також лікарських свідоцтв про смерть та інших документів установленого зразка, які необхідні пацієнту/пацієнтці згідно з вимогами чинного законодавства в межах робочого часу надавача ПМД.</w:t>
      </w:r>
    </w:p>
    <w:p>
      <w:pPr>
        <w:numPr>
          <w:ilvl w:val="0"/>
          <w:numId w:val="1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Дотримання принципів безбар’єрності та інклюзії при наданні медичної допомоги, у тому числі з використанням методів і засобів телемедицини відповідно до нормативно-правових актів.</w:t>
      </w:r>
    </w:p>
    <w:p>
      <w:pPr>
        <w:shd w:val="clear" w:fill="FFFFFF"/>
        <w:spacing w:lineRule="auto" w:line="240" w:after="0" w:beforeAutospacing="0" w:afterAutospacing="0"/>
        <w:ind w:left="-180"/>
        <w:jc w:val="both"/>
        <w:rPr>
          <w:rFonts w:ascii="Times New Roman" w:hAnsi="Times New Roman"/>
          <w:sz w:val="24"/>
          <w:szCs w:val="24"/>
        </w:rPr>
      </w:pPr>
      <w:r>
        <w:rPr>
          <w:rFonts w:ascii="Times New Roman" w:hAnsi="Times New Roman"/>
          <w:i w:val="1"/>
          <w:sz w:val="24"/>
          <w:szCs w:val="24"/>
        </w:rPr>
        <w:t> </w:t>
      </w:r>
    </w:p>
    <w:p>
      <w:pPr>
        <w:shd w:val="clear" w:fill="FFFFFF"/>
        <w:spacing w:lineRule="auto" w:line="240" w:after="0" w:beforeAutospacing="0" w:afterAutospacing="0"/>
        <w:ind w:left="-180"/>
        <w:jc w:val="both"/>
        <w:rPr>
          <w:rFonts w:ascii="Times New Roman" w:hAnsi="Times New Roman"/>
          <w:i w:val="1"/>
          <w:sz w:val="24"/>
          <w:szCs w:val="24"/>
        </w:rPr>
      </w:pPr>
      <w:r>
        <w:rPr>
          <w:rFonts w:ascii="Times New Roman" w:hAnsi="Times New Roman"/>
          <w:i w:val="1"/>
          <w:sz w:val="24"/>
          <w:szCs w:val="24"/>
        </w:rPr>
        <w:t xml:space="preserve">Додаткові вимоги до обсягу медичних послуг, який надавач зобов’язується надавати за договором відповідно до медичних потреб пацієнта/пацієнтки (специфікація) </w:t>
      </w:r>
    </w:p>
    <w:p>
      <w:pPr>
        <w:shd w:val="clear" w:fill="FFFFFF"/>
        <w:spacing w:lineRule="auto" w:line="240" w:after="0" w:beforeAutospacing="0" w:afterAutospacing="0"/>
        <w:ind w:left="-180"/>
        <w:jc w:val="both"/>
        <w:rPr>
          <w:rFonts w:ascii="Times New Roman" w:hAnsi="Times New Roman"/>
          <w:sz w:val="24"/>
          <w:szCs w:val="24"/>
        </w:rPr>
      </w:pPr>
      <w:r>
        <w:rPr>
          <w:rFonts w:ascii="Times New Roman" w:hAnsi="Times New Roman"/>
          <w:i w:val="1"/>
          <w:sz w:val="24"/>
          <w:szCs w:val="24"/>
        </w:rPr>
        <w:t xml:space="preserve">Послуга </w:t>
      </w:r>
      <w:r>
        <w:rPr>
          <w:rFonts w:ascii="Times New Roman" w:hAnsi="Times New Roman"/>
          <w:b w:val="1"/>
          <w:i w:val="1"/>
          <w:sz w:val="24"/>
          <w:szCs w:val="24"/>
        </w:rPr>
        <w:t xml:space="preserve"> “Супровід та лікування дорослих та дітей, хворих на туберкульоз, на первинному рівні медичної допомоги”</w:t>
      </w:r>
      <w:r>
        <w:rPr>
          <w:rFonts w:ascii="Times New Roman" w:hAnsi="Times New Roman"/>
          <w:i w:val="1"/>
          <w:sz w:val="24"/>
          <w:szCs w:val="24"/>
        </w:rPr>
        <w:t>):</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Визначення спільно з пацієнтом/пацієнткою амбулаторної моделі підтримки лікування (підтримка лікування за допомогою телемедичних засобів, підтримка лікування під наглядом надавачів медичних послуг, підтримка лікування за місцем проживання тощо), враховуючи рекомендації лікаря-фтизіатра та інших лікарів.</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Динамічне спостереження за станом здоров’я пацієнта/пацієнтки з діагнозом туберкульоз (ТБ).</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направлення пацієнтів на лабораторні та інструментальні обстеження  відповідно до плану лікування до регіонального фтизіопульмонологічного центру та/або до інших закладів охорони здоров'я.</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Організація забору та транспортування біоматеріалу пацієнта/пацієнтки для виконання бактеріологічних досліджень до регіонального фтизіопульмонологічного центру.</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Видача та контроль за прийомом протитуберкульозних засобів, призначених лікарем-фтизіатром.</w:t>
      </w:r>
    </w:p>
    <w:p>
      <w:pPr>
        <w:numPr>
          <w:ilvl w:val="0"/>
          <w:numId w:val="2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індивідуальної профілактичної роботи з пацієнтом/пацієнткою, хворими на ТБ, спрямованої на навчання санітарно-гігієнічним навичкам і зниження ймовірності передачі мікобактерій туберкульозу іншим особам та контролю за туберкульозом.</w:t>
      </w:r>
    </w:p>
    <w:p>
      <w:pPr>
        <w:shd w:val="clear" w:fill="FFFFFF"/>
        <w:spacing w:lineRule="auto" w:line="240" w:after="0" w:beforeAutospacing="0" w:afterAutospacing="0"/>
        <w:ind w:hanging="420" w:left="860"/>
        <w:jc w:val="both"/>
        <w:rPr>
          <w:rFonts w:ascii="Times New Roman" w:hAnsi="Times New Roman"/>
          <w:sz w:val="24"/>
          <w:szCs w:val="24"/>
        </w:rPr>
      </w:pPr>
      <w:r>
        <w:rPr>
          <w:rFonts w:ascii="Times New Roman" w:hAnsi="Times New Roman"/>
          <w:sz w:val="24"/>
          <w:szCs w:val="24"/>
        </w:rPr>
        <w:t> </w:t>
      </w:r>
    </w:p>
    <w:p>
      <w:pPr>
        <w:shd w:val="clear" w:fill="FFFFFF"/>
        <w:spacing w:lineRule="auto" w:line="240" w:after="0" w:beforeAutospacing="0" w:afterAutospacing="0"/>
        <w:ind w:left="860"/>
        <w:jc w:val="both"/>
        <w:rPr>
          <w:rFonts w:ascii="Times New Roman" w:hAnsi="Times New Roman"/>
          <w:sz w:val="24"/>
          <w:szCs w:val="24"/>
        </w:rPr>
      </w:pPr>
    </w:p>
    <w:p>
      <w:pPr>
        <w:spacing w:lineRule="auto" w:line="240" w:before="240" w:after="0" w:beforeAutospacing="0" w:afterAutospacing="0"/>
        <w:jc w:val="center"/>
        <w:rPr>
          <w:rFonts w:ascii="Times New Roman" w:hAnsi="Times New Roman"/>
          <w:sz w:val="24"/>
          <w:szCs w:val="24"/>
        </w:rPr>
      </w:pPr>
      <w:r>
        <w:rPr>
          <w:rFonts w:ascii="Times New Roman" w:hAnsi="Times New Roman"/>
          <w:b w:val="1"/>
          <w:sz w:val="24"/>
          <w:szCs w:val="24"/>
        </w:rPr>
        <w:t>ПЕРВИННА МЕДИЧНА ДОПОМОГА</w:t>
      </w:r>
    </w:p>
    <w:p>
      <w:pPr>
        <w:spacing w:lineRule="auto" w:line="240" w:after="0" w:beforeAutospacing="0" w:afterAutospacing="0"/>
        <w:rPr>
          <w:rFonts w:ascii="Times New Roman" w:hAnsi="Times New Roman"/>
          <w:sz w:val="24"/>
          <w:szCs w:val="24"/>
        </w:rPr>
      </w:pPr>
    </w:p>
    <w:p>
      <w:pPr>
        <w:spacing w:lineRule="auto" w:line="240" w:after="0" w:beforeAutospacing="0" w:afterAutospacing="0"/>
        <w:ind w:left="720"/>
        <w:jc w:val="center"/>
        <w:rPr>
          <w:rFonts w:ascii="Times New Roman" w:hAnsi="Times New Roman"/>
          <w:sz w:val="24"/>
          <w:szCs w:val="24"/>
        </w:rPr>
      </w:pPr>
      <w:r>
        <w:rPr>
          <w:rFonts w:ascii="Times New Roman" w:hAnsi="Times New Roman"/>
          <w:b w:val="1"/>
          <w:sz w:val="24"/>
          <w:szCs w:val="24"/>
          <w:highlight w:val="white"/>
        </w:rPr>
        <w:t>Умови закупівлі медичних послуг</w:t>
      </w:r>
      <w:r>
        <w:rPr>
          <w:rFonts w:ascii="Times New Roman" w:hAnsi="Times New Roman"/>
          <w:sz w:val="24"/>
          <w:szCs w:val="24"/>
          <w:highlight w:val="white"/>
        </w:rPr>
        <w:t> </w:t>
      </w:r>
    </w:p>
    <w:p>
      <w:pPr>
        <w:spacing w:lineRule="auto" w:line="240" w:before="240" w:after="0" w:beforeAutospacing="0" w:afterAutospacing="0"/>
        <w:ind w:left="560"/>
        <w:rPr>
          <w:rFonts w:ascii="Times New Roman" w:hAnsi="Times New Roman"/>
          <w:sz w:val="24"/>
          <w:szCs w:val="24"/>
        </w:rPr>
      </w:pPr>
      <w:r>
        <w:rPr>
          <w:rFonts w:ascii="Times New Roman" w:hAnsi="Times New Roman"/>
          <w:i w:val="1"/>
          <w:sz w:val="24"/>
          <w:szCs w:val="24"/>
          <w:highlight w:val="white"/>
        </w:rPr>
        <w:t xml:space="preserve">Умови надання послуги: </w:t>
      </w:r>
      <w:r>
        <w:rPr>
          <w:rFonts w:ascii="Times New Roman" w:hAnsi="Times New Roman"/>
          <w:sz w:val="24"/>
          <w:szCs w:val="24"/>
          <w:highlight w:val="white"/>
        </w:rPr>
        <w:t>амбулаторно та/або за місцем проживання (перебування) пацієнта/пацієнтки (за рішенням лікаря ПМД), та/або з використанням засобів телекомунікації. </w:t>
      </w:r>
    </w:p>
    <w:p>
      <w:pPr>
        <w:spacing w:lineRule="auto" w:line="240" w:before="240" w:after="0" w:beforeAutospacing="0" w:afterAutospacing="0"/>
        <w:ind w:firstLine="200" w:left="360"/>
        <w:rPr>
          <w:rFonts w:ascii="Times New Roman" w:hAnsi="Times New Roman"/>
          <w:sz w:val="24"/>
          <w:szCs w:val="24"/>
        </w:rPr>
      </w:pPr>
      <w:r>
        <w:rPr>
          <w:rFonts w:ascii="Times New Roman" w:hAnsi="Times New Roman"/>
          <w:b w:val="1"/>
          <w:i w:val="1"/>
          <w:sz w:val="24"/>
          <w:szCs w:val="24"/>
          <w:highlight w:val="white"/>
        </w:rPr>
        <w:t>Підстави надання послуги</w:t>
      </w:r>
      <w:r>
        <w:rPr>
          <w:rFonts w:ascii="Times New Roman" w:hAnsi="Times New Roman"/>
          <w:i w:val="1"/>
          <w:sz w:val="24"/>
          <w:szCs w:val="24"/>
          <w:highlight w:val="white"/>
        </w:rPr>
        <w:t>: </w:t>
      </w:r>
    </w:p>
    <w:p>
      <w:pPr>
        <w:shd w:val="clear" w:fill="FFFFFF"/>
        <w:spacing w:lineRule="auto" w:line="240" w:after="0" w:beforeAutospacing="0" w:afterAutospacing="0"/>
        <w:ind w:hanging="280" w:left="560"/>
        <w:jc w:val="both"/>
        <w:rPr>
          <w:rFonts w:ascii="Times New Roman" w:hAnsi="Times New Roman"/>
          <w:sz w:val="24"/>
          <w:szCs w:val="24"/>
        </w:rPr>
      </w:pPr>
      <w:r>
        <w:rPr>
          <w:rFonts w:ascii="Times New Roman" w:hAnsi="Times New Roman"/>
          <w:sz w:val="24"/>
          <w:szCs w:val="24"/>
        </w:rPr>
        <w:t>● декларація про вибір лікаря, який надає первинну медичну допомогу;</w:t>
      </w:r>
    </w:p>
    <w:p>
      <w:pPr>
        <w:shd w:val="clear" w:fill="FFFFFF"/>
        <w:spacing w:lineRule="auto" w:line="240" w:after="0" w:beforeAutospacing="0" w:afterAutospacing="0"/>
        <w:ind w:hanging="280" w:left="560"/>
        <w:jc w:val="both"/>
        <w:rPr>
          <w:rFonts w:ascii="Times New Roman" w:hAnsi="Times New Roman"/>
          <w:sz w:val="24"/>
          <w:szCs w:val="24"/>
        </w:rPr>
      </w:pPr>
      <w:r>
        <w:rPr>
          <w:rFonts w:ascii="Times New Roman" w:hAnsi="Times New Roman"/>
          <w:sz w:val="24"/>
          <w:szCs w:val="24"/>
        </w:rPr>
        <w:t>● самозвернення при невідкладному стані (незалежно від наявності декларації про вибір лікаря).</w:t>
      </w:r>
    </w:p>
    <w:p>
      <w:pPr>
        <w:shd w:val="clear" w:fill="FFFFFF"/>
        <w:spacing w:lineRule="auto" w:line="240" w:after="0" w:beforeAutospacing="0" w:afterAutospacing="0"/>
        <w:ind w:left="-180"/>
        <w:jc w:val="both"/>
        <w:rPr>
          <w:rFonts w:ascii="Times New Roman" w:hAnsi="Times New Roman"/>
          <w:i w:val="1"/>
          <w:sz w:val="24"/>
          <w:szCs w:val="24"/>
        </w:rPr>
      </w:pPr>
    </w:p>
    <w:p>
      <w:pPr>
        <w:shd w:val="clear" w:fill="FFFFFF"/>
        <w:spacing w:lineRule="auto" w:line="240" w:after="0" w:beforeAutospacing="0" w:afterAutospacing="0"/>
        <w:ind w:left="-180"/>
        <w:jc w:val="both"/>
        <w:rPr>
          <w:rFonts w:ascii="Times New Roman" w:hAnsi="Times New Roman"/>
          <w:i w:val="1"/>
          <w:sz w:val="24"/>
          <w:szCs w:val="24"/>
        </w:rPr>
      </w:pPr>
      <w:r>
        <w:rPr>
          <w:rFonts w:ascii="Times New Roman" w:hAnsi="Times New Roman"/>
          <w:i w:val="1"/>
          <w:sz w:val="24"/>
          <w:szCs w:val="24"/>
        </w:rPr>
        <w:t xml:space="preserve">Додаткові вимоги до підстав надання послуги щодо умов закупівлі медичних послуг  </w:t>
      </w:r>
    </w:p>
    <w:p>
      <w:pPr>
        <w:shd w:val="clear" w:fill="FFFFFF"/>
        <w:spacing w:lineRule="auto" w:line="240" w:after="0" w:beforeAutospacing="0" w:afterAutospacing="0"/>
        <w:ind w:left="-180"/>
        <w:jc w:val="both"/>
        <w:rPr>
          <w:rFonts w:ascii="Times New Roman" w:hAnsi="Times New Roman"/>
          <w:sz w:val="24"/>
          <w:szCs w:val="24"/>
        </w:rPr>
      </w:pPr>
      <w:r>
        <w:rPr>
          <w:rFonts w:ascii="Times New Roman" w:hAnsi="Times New Roman"/>
          <w:i w:val="1"/>
          <w:sz w:val="24"/>
          <w:szCs w:val="24"/>
        </w:rPr>
        <w:t>Послуга</w:t>
      </w:r>
      <w:r>
        <w:rPr>
          <w:rFonts w:ascii="Times New Roman" w:hAnsi="Times New Roman"/>
          <w:b w:val="1"/>
          <w:i w:val="1"/>
          <w:sz w:val="24"/>
          <w:szCs w:val="24"/>
        </w:rPr>
        <w:t xml:space="preserve"> “Супровід та лікування дорослих та дітей, хворих на туберкульоз, на первинному рівні медичної допомоги</w:t>
      </w:r>
      <w:r>
        <w:rPr>
          <w:rFonts w:ascii="Times New Roman" w:hAnsi="Times New Roman"/>
          <w:i w:val="1"/>
          <w:sz w:val="24"/>
          <w:szCs w:val="24"/>
        </w:rPr>
        <w:t>”:</w:t>
      </w:r>
    </w:p>
    <w:p>
      <w:pPr>
        <w:spacing w:lineRule="auto" w:line="240" w:before="240" w:after="0" w:beforeAutospacing="0" w:afterAutospacing="0"/>
        <w:ind w:hanging="420" w:left="700" w:right="10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наявність плану лікування, створеного лікарем-фтизіатром у пацієнта/пацієнтки (зі встановленим діагнозом А15-А19), згідно з яким пацієнт/пацієнтка отримує лікування у лікаря з надання ПМД, якого обрано або буде обрано за декларацією про вибір лікаря з надання ПМД.</w:t>
      </w:r>
    </w:p>
    <w:p>
      <w:pPr>
        <w:spacing w:lineRule="auto" w:line="240" w:before="240" w:after="0" w:beforeAutospacing="0" w:afterAutospacing="0"/>
        <w:ind w:firstLine="200" w:left="360"/>
        <w:rPr>
          <w:rFonts w:ascii="Times New Roman" w:hAnsi="Times New Roman"/>
          <w:sz w:val="24"/>
          <w:szCs w:val="24"/>
        </w:rPr>
      </w:pPr>
      <w:r>
        <w:rPr>
          <w:rFonts w:ascii="Times New Roman" w:hAnsi="Times New Roman"/>
          <w:i w:val="1"/>
          <w:sz w:val="24"/>
          <w:szCs w:val="24"/>
          <w:highlight w:val="white"/>
        </w:rPr>
        <w:t>Вимоги до організації надання послуги:</w:t>
      </w:r>
    </w:p>
    <w:p>
      <w:pPr>
        <w:numPr>
          <w:ilvl w:val="0"/>
          <w:numId w:val="25"/>
        </w:numPr>
        <w:spacing w:lineRule="auto" w:line="240" w:before="240" w:after="0" w:beforeAutospacing="0" w:afterAutospacing="0"/>
        <w:jc w:val="both"/>
        <w:rPr>
          <w:rFonts w:ascii="Times New Roman" w:hAnsi="Times New Roman"/>
          <w:sz w:val="24"/>
          <w:szCs w:val="24"/>
        </w:rPr>
      </w:pPr>
      <w:r>
        <w:rPr>
          <w:rFonts w:ascii="Times New Roman" w:hAnsi="Times New Roman"/>
          <w:sz w:val="24"/>
          <w:szCs w:val="24"/>
        </w:rPr>
        <w:t>Забезпечення безперервності надання первинної медичної допомоги пацієнтам протягом усього їхнього життя, з урахуванням усіх їхніх проблем зі здоров’ям.</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проведення лабораторних обстежень, передбачених специфікаціями, надавачами медичних послуг або на умовах договору підряду.</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пацієнтам, за наявності у них факторів ризику, тестування на ВІЛ та вірусні гепатити В та С не менше 1 разу на рік.</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надання медичної допомоги методами і засобами телемедицини в дистанційний спосіб (телеконсультування/телевідеоконсультування у режимі реального або відкладеного часу, теледіагностики, спостереження у режимі віддаленого моніторингу, телеметрії) разом з обстеженням, та із застосуванням інших методів, що не суперечать законодавству, з обов’язковим створенням медичного запису про медичний огляд, надання консультації або лікування відповідно до Порядку ведення Реєстру медичних записів, записів про направлення та рецептів в електронній системі охорони здоров’я.</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 xml:space="preserve">Забезпечення надання </w:t>
      </w:r>
      <w:r>
        <w:rPr>
          <w:rFonts w:ascii="Times New Roman" w:hAnsi="Times New Roman"/>
          <w:b w:val="1"/>
          <w:sz w:val="24"/>
          <w:szCs w:val="24"/>
        </w:rPr>
        <w:t>окремих послуг з питань психічного здоров’я</w:t>
      </w:r>
      <w:r>
        <w:rPr>
          <w:rFonts w:ascii="Times New Roman" w:hAnsi="Times New Roman"/>
          <w:sz w:val="24"/>
          <w:szCs w:val="24"/>
        </w:rPr>
        <w:t>, зокрема</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оцінка психічного стану пацієнтів, спрямованої на виявлення тривожних станів, депресії, стрес-асоційованих розладів, суїцидальної поведінки, розладів пов’язаних із вживанням психоактивних речовин та інших розладів психічного здоров’я;</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оцінка психічного стану дітей, спрямованої на виявлення розладів розвитку, емоційних, поведінкових розладів, насильства (фізичного, сексуального, емоційного, занедбаності та інших форм жорстокого поводження) та інших ПНПР, а також оцінка домашнього та шкільного середовища, взаємодії батьків/піклувальників із дитиною/підлітком.</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надання медичної та психосоціальної допомоги пацієнтам відповідно до галузевих стандартів за згодою пацієнтів та/або їх законних представників.</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постійна взаємодія з лікарем-психіатром лікарем- психіатром дитячим з метою оцінювання психічного стану пацієнтів, встановлення діагнозу психічного розладу, формування плану лікування й реабілітації та його корекції, а також постійної взаємодії з, та/або лікарем-психологом, та/або клінічним психологом, та/або лікарем-психотерапевтом, та/або психотерапевтом, та/або лікарем-психофізіологом, та/або лікарем-наркологом, та/або лікарем- невропатологом або лікарем-неврологом дитячим, психологом щодо встановлення діагнозу та формування плану лікування та його корекції, з іншими лікарями-спеціалістами для лікування коморбідних розладів.</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толерантне та неупереджене ставлення з повагою до прав та гідності пацієнта під час надання медичних послуг відповідно до затвердженої у надавача медичних послуг програми протидії дискримінації та стигматизації пацієнтів та забезпечення конфіденційності відповідних медичних даних.</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організація залучення за необхідності членів родини та/або законних представників, та/або осіб, які здійснюють догляд за пацієнтами, до догляду за ними (за їхньої згоди).</w:t>
      </w:r>
    </w:p>
    <w:p>
      <w:pPr>
        <w:numPr>
          <w:ilvl w:val="0"/>
          <w:numId w:val="19"/>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призначення керівником закладу лікаря на заміну (за згодою пацієнтів та/або законних представників), задля ефективного та своєчасного надання медичної допомоги пацієнтам з ПНПР.</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профілактичних бесід з пацієнтами щодо ведення здорового способу життя та піклування про власне здоров’я та здоров’я дітей.</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можливості запису на прийом до лікаря для отримання пацієнтом медичної допомоги із застосуванням телемедицини особисто, по телефону, електронною поштою або системами електронної охорони здоров’я та іншими доступними технічними засобами електронних комунікацій.</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Взаємодія із закладами спеціалізованої медичної допомоги для своєчасної діагностики та лікування більшості інфекційних та неінфекційних хвороб, травм, отруєнь, патологічних, фізіологічних (під час вагітності) станів з урахуванням стану здоров’я пацієнтів.</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Взаємодія із суб’єктами громадського здоров’я, закладами освіти,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збереження та зміцнення здоров’я населення.</w:t>
      </w:r>
    </w:p>
    <w:p>
      <w:pPr>
        <w:numPr>
          <w:ilvl w:val="0"/>
          <w:numId w:val="25"/>
        </w:numPr>
        <w:spacing w:lineRule="auto" w:line="240" w:after="0" w:beforeAutospacing="0" w:afterAutospacing="0"/>
        <w:jc w:val="both"/>
        <w:rPr>
          <w:rFonts w:ascii="Times New Roman" w:hAnsi="Times New Roman"/>
          <w:b w:val="1"/>
          <w:sz w:val="24"/>
          <w:szCs w:val="24"/>
        </w:rPr>
      </w:pPr>
      <w:r>
        <w:rPr>
          <w:rFonts w:ascii="Times New Roman" w:hAnsi="Times New Roman"/>
          <w:b w:val="1"/>
          <w:color w:val="444746"/>
          <w:sz w:val="24"/>
          <w:szCs w:val="24"/>
          <w:highlight w:val="white"/>
        </w:rPr>
        <w:t xml:space="preserve">Забезпечення наявності сертифікатів щодо проходження навчання з ведення та лікування пацієнтів з ПНР (або онлайн курс «Ведення поширених психічних розладів на первинному рівні медичної допомоги із використанням керівництва mhGAP» на платформі Академії НСЗУ, або тренінги mhGAP, які проводить ВООЗ та партнерські організації) у всіх  лікарів з надання ПМД, та медичних сестер, які працюють у закладі .</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Призначення керівником надавача ПМД лікаря на заміну у випадку декретної відпустки, щорічної відпустки, тривалого відрядження лікаря задля ефективного та своєчасного надання пацієнтам медичної допомоги.</w:t>
      </w:r>
    </w:p>
    <w:p>
      <w:pPr>
        <w:numPr>
          <w:ilvl w:val="0"/>
          <w:numId w:val="25"/>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спеціального навчання лікарів та середнього медичного персоналу з надання ПМД, які залучені до надання послуг з лікування та супроводу дорослих та дітей із ПНР.</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highlight w:val="white"/>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highlight w:val="white"/>
        </w:rPr>
        <w:t>Наявність плану протиепідемічної готовності/реагування на випадок виявлення особливо небезпечних інфекційних хвороб.</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надавачем медичних послуг для забезпечення прав пацієнтів на отримання медичної допомоги необхідного обсягу та належної якості.</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Підготовка та відправлення повідомлень про інфекційне захворювання, гострі в’ялі паралічі, харчове, гостре професійне отруєння, несприятливу подію після імунізації, незвичайну реакцію на лікарські засоби, а також проведення епідеміологічних розслідувань при поодиноких випадках інфекційних хвороб.</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пацієнтів</w:t>
      </w:r>
      <w:r>
        <w:rPr>
          <w:rFonts w:ascii="Times New Roman" w:hAnsi="Times New Roman"/>
          <w:b w:val="1"/>
          <w:sz w:val="24"/>
          <w:szCs w:val="24"/>
        </w:rPr>
        <w:t xml:space="preserve"> </w:t>
      </w:r>
      <w:r>
        <w:rPr>
          <w:rFonts w:ascii="Times New Roman" w:hAnsi="Times New Roman"/>
          <w:sz w:val="24"/>
          <w:szCs w:val="24"/>
        </w:rPr>
        <w:t>та повідомлення відповідних служб згідно із затвердженим законодавством.</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Надання послуг особам, постраждалим від ґендерно зумовленого насильства (ГЗН) та сексуального насильства, пов'язаного з конфліктом (СНПК).</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Повідомлення пацієнтів про припинення дії декларації про вибір лікаря з надання ПМД  визначеним надавачем медичних послуг способом.</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 </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Обов’язкове інформування пацієнтів щодо можливості отримання необхідних медичних послуг на спеціалізованому рівні безоплатно за рахунок коштів програми медичних гарантій.</w:t>
      </w:r>
    </w:p>
    <w:p>
      <w:pPr>
        <w:numPr>
          <w:ilvl w:val="0"/>
          <w:numId w:val="25"/>
        </w:numPr>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дотримання принципів безбар’єрності та інклюзії при наданні медичної допомоги, у тому числі з використанням методів і засобів телемедицини відповідно до нормативно-правових актів.</w:t>
      </w:r>
    </w:p>
    <w:p>
      <w:pPr>
        <w:spacing w:lineRule="auto" w:line="240" w:after="0" w:beforeAutospacing="0" w:afterAutospacing="0"/>
        <w:jc w:val="both"/>
        <w:rPr>
          <w:rFonts w:ascii="Times New Roman" w:hAnsi="Times New Roman"/>
          <w:sz w:val="24"/>
          <w:szCs w:val="24"/>
        </w:rPr>
      </w:pPr>
    </w:p>
    <w:p>
      <w:pPr>
        <w:shd w:val="clear" w:fill="FFFFFF"/>
        <w:spacing w:lineRule="auto" w:line="240" w:after="0" w:beforeAutospacing="0" w:afterAutospacing="0"/>
        <w:jc w:val="both"/>
        <w:rPr>
          <w:rFonts w:ascii="Times New Roman" w:hAnsi="Times New Roman"/>
          <w:sz w:val="24"/>
          <w:szCs w:val="24"/>
        </w:rPr>
      </w:pPr>
      <w:r>
        <w:rPr>
          <w:rFonts w:ascii="Times New Roman" w:hAnsi="Times New Roman"/>
          <w:b w:val="1"/>
          <w:sz w:val="24"/>
          <w:szCs w:val="24"/>
        </w:rPr>
        <w:t> </w:t>
      </w:r>
    </w:p>
    <w:p>
      <w:pPr>
        <w:shd w:val="clear" w:fill="FFFFFF"/>
        <w:spacing w:lineRule="auto" w:line="240" w:after="0" w:beforeAutospacing="0" w:afterAutospacing="0"/>
        <w:ind w:left="-180"/>
        <w:jc w:val="both"/>
        <w:rPr>
          <w:rFonts w:ascii="Times New Roman" w:hAnsi="Times New Roman"/>
          <w:i w:val="1"/>
          <w:sz w:val="24"/>
          <w:szCs w:val="24"/>
        </w:rPr>
      </w:pPr>
      <w:r>
        <w:rPr>
          <w:rFonts w:ascii="Times New Roman" w:hAnsi="Times New Roman"/>
          <w:i w:val="1"/>
          <w:sz w:val="24"/>
          <w:szCs w:val="24"/>
        </w:rPr>
        <w:t xml:space="preserve">Додаткові вимоги до організації надання послуги </w:t>
      </w:r>
    </w:p>
    <w:p>
      <w:pPr>
        <w:shd w:val="clear" w:fill="FFFFFF"/>
        <w:spacing w:lineRule="auto" w:line="240" w:after="0" w:beforeAutospacing="0" w:afterAutospacing="0"/>
        <w:ind w:left="-180"/>
        <w:jc w:val="both"/>
        <w:rPr>
          <w:rFonts w:ascii="Times New Roman" w:hAnsi="Times New Roman"/>
          <w:sz w:val="24"/>
          <w:szCs w:val="24"/>
        </w:rPr>
      </w:pPr>
      <w:r>
        <w:rPr>
          <w:rFonts w:ascii="Times New Roman" w:hAnsi="Times New Roman"/>
          <w:i w:val="1"/>
          <w:sz w:val="24"/>
          <w:szCs w:val="24"/>
        </w:rPr>
        <w:t>Послуга</w:t>
      </w:r>
      <w:r>
        <w:rPr>
          <w:rFonts w:ascii="Times New Roman" w:hAnsi="Times New Roman"/>
          <w:b w:val="1"/>
          <w:i w:val="1"/>
          <w:sz w:val="24"/>
          <w:szCs w:val="24"/>
        </w:rPr>
        <w:t xml:space="preserve"> “Супровід та лікування дорослих та дітей, хворих на туберкульоз, на первинному рівні медичної допомоги</w:t>
      </w:r>
      <w:r>
        <w:rPr>
          <w:rFonts w:ascii="Times New Roman" w:hAnsi="Times New Roman"/>
          <w:i w:val="1"/>
          <w:sz w:val="24"/>
          <w:szCs w:val="24"/>
        </w:rPr>
        <w:t>”:</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організації проведення забору та доставки біологічного матеріалу від пацієнтів з ТБ до регіонального фтизіопульмонологічного центру для проведення бактеріологічних лабораторних досліджень.</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Направлення пацієнтів на лабораторні та інструментальні  методи обстеження, відповідно до плану лікування, до регіонального фтизіопульмонологічного центру та/або до інших закладів охорони здоров'я.</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Видача та контроль за прийомом протитуберкульозних засобів, призначених лікарем-фтизіатром.</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Проведення індивідуальної профілактичної роботи з пацієнтами, хворими на ТБ, спрямованої на навчання санітарно-гігієнічним навичкам і зниження ймовірності передачі мікобактерій туберкульозу іншим особам та інфекційного контролю за туберкульозом.</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Залучення пацієнтів до ухвалення рішень щодо їх здоров'я, узгодження плану лікування відповідно до їх очікувань та можливостей.</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Інформування пацієнтів щодо можливостей профілактики та лікування туберкульозу, контролю за хворобою.</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Забезпечення взаємодії зі спеціалізованими закладами з надання фтизіатричної допомоги, іншими ЗОЗ спеціалізованої медичної допомоги, а також закладами, установами, організаціями незалежно від форм власності в наданні паліативної та хоспісної допомоги, догляді та підтримці пацієнтів з діагнозом ТБ.</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Планування, облік та управління запасами лікарських засобів для лікування туберкульозу, зокрема, організація та забезпечення логістики, зберігання та використання протитуберкульозних засобів відповідно до вимог нормативних документів.</w:t>
      </w:r>
    </w:p>
    <w:p>
      <w:pPr>
        <w:numPr>
          <w:ilvl w:val="0"/>
          <w:numId w:val="22"/>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Призначення керівником ЗОЗ лікаря на заміну у випадку відсутності лікуючого лікаря задля ефективного та своєчасного надання медичної допомоги хворим на ТБ.</w:t>
      </w:r>
    </w:p>
    <w:p>
      <w:pPr>
        <w:shd w:val="clear" w:fill="FFFFFF"/>
        <w:spacing w:lineRule="auto" w:line="240" w:after="0" w:beforeAutospacing="0" w:afterAutospacing="0"/>
        <w:ind w:hanging="420" w:left="860"/>
        <w:jc w:val="both"/>
        <w:rPr>
          <w:rFonts w:ascii="Times New Roman" w:hAnsi="Times New Roman"/>
          <w:sz w:val="24"/>
          <w:szCs w:val="24"/>
        </w:rPr>
      </w:pPr>
      <w:r>
        <w:rPr>
          <w:rFonts w:ascii="Times New Roman" w:hAnsi="Times New Roman"/>
          <w:sz w:val="24"/>
          <w:szCs w:val="24"/>
        </w:rPr>
        <w:t> </w:t>
      </w:r>
    </w:p>
    <w:p>
      <w:pPr>
        <w:shd w:val="clear" w:fill="FFFFFF"/>
        <w:spacing w:lineRule="auto" w:line="240" w:after="0" w:beforeAutospacing="0" w:afterAutospacing="0"/>
        <w:ind w:left="720"/>
        <w:jc w:val="both"/>
        <w:rPr>
          <w:rFonts w:ascii="Times New Roman" w:hAnsi="Times New Roman"/>
          <w:sz w:val="24"/>
          <w:szCs w:val="24"/>
        </w:rPr>
      </w:pPr>
    </w:p>
    <w:p>
      <w:pPr>
        <w:spacing w:lineRule="auto" w:line="240" w:after="0" w:beforeAutospacing="0" w:afterAutospacing="0"/>
        <w:rPr>
          <w:rFonts w:ascii="Times New Roman" w:hAnsi="Times New Roman"/>
          <w:sz w:val="24"/>
          <w:szCs w:val="24"/>
        </w:rPr>
      </w:pPr>
    </w:p>
    <w:p>
      <w:pPr>
        <w:spacing w:lineRule="auto" w:line="240" w:after="0" w:beforeAutospacing="0" w:afterAutospacing="0"/>
        <w:ind w:hanging="420" w:left="860" w:right="100"/>
        <w:jc w:val="both"/>
        <w:rPr>
          <w:rFonts w:ascii="Times New Roman" w:hAnsi="Times New Roman"/>
          <w:i w:val="1"/>
          <w:sz w:val="24"/>
          <w:szCs w:val="24"/>
          <w:highlight w:val="white"/>
        </w:rPr>
      </w:pPr>
      <w:r>
        <w:rPr>
          <w:rFonts w:ascii="Times New Roman" w:hAnsi="Times New Roman"/>
          <w:i w:val="1"/>
          <w:sz w:val="24"/>
          <w:szCs w:val="24"/>
          <w:highlight w:val="white"/>
        </w:rPr>
        <w:t>Вимоги до спеціалістів та кількості фахівців, які працюють на посадах:</w:t>
      </w:r>
    </w:p>
    <w:p>
      <w:pPr>
        <w:spacing w:lineRule="auto" w:line="240" w:after="0" w:beforeAutospacing="0" w:afterAutospacing="0"/>
        <w:ind w:hanging="420" w:left="860" w:right="100"/>
        <w:jc w:val="both"/>
        <w:rPr>
          <w:rFonts w:ascii="Times New Roman" w:hAnsi="Times New Roman"/>
          <w:b w:val="1"/>
          <w:i w:val="1"/>
          <w:sz w:val="24"/>
          <w:szCs w:val="24"/>
          <w:highlight w:val="white"/>
        </w:rPr>
      </w:pPr>
    </w:p>
    <w:p>
      <w:pPr>
        <w:numPr>
          <w:ilvl w:val="0"/>
          <w:numId w:val="9"/>
        </w:numPr>
        <w:shd w:val="clear" w:fill="FFFFFF"/>
        <w:spacing w:lineRule="auto" w:line="240" w:after="240" w:beforeAutospacing="0" w:afterAutospacing="0"/>
        <w:jc w:val="both"/>
        <w:rPr>
          <w:rFonts w:ascii="Times New Roman" w:hAnsi="Times New Roman"/>
          <w:sz w:val="24"/>
          <w:szCs w:val="24"/>
        </w:rPr>
      </w:pPr>
      <w:r>
        <w:rPr>
          <w:rFonts w:ascii="Times New Roman" w:hAnsi="Times New Roman"/>
          <w:sz w:val="24"/>
          <w:szCs w:val="24"/>
        </w:rPr>
        <w:t>У ЗОЗ::</w:t>
      </w:r>
    </w:p>
    <w:p>
      <w:pPr>
        <w:shd w:val="clear" w:fill="FFFFFF"/>
        <w:spacing w:lineRule="auto" w:line="240" w:after="0" w:beforeAutospacing="0" w:afterAutospacing="0"/>
        <w:ind w:hanging="280" w:left="1000"/>
        <w:jc w:val="both"/>
        <w:rPr>
          <w:rFonts w:ascii="Times New Roman" w:hAnsi="Times New Roman"/>
          <w:b w:val="1"/>
          <w:sz w:val="24"/>
          <w:szCs w:val="24"/>
        </w:rPr>
      </w:pPr>
    </w:p>
    <w:p>
      <w:pPr>
        <w:shd w:val="clear" w:fill="FFFFFF"/>
        <w:spacing w:lineRule="auto" w:line="240" w:after="0" w:beforeAutospacing="0" w:afterAutospacing="0"/>
        <w:ind w:hanging="280" w:left="1000"/>
        <w:jc w:val="both"/>
        <w:rPr>
          <w:rFonts w:ascii="Times New Roman" w:hAnsi="Times New Roman"/>
          <w:b w:val="1"/>
          <w:sz w:val="24"/>
          <w:szCs w:val="24"/>
        </w:rPr>
      </w:pPr>
      <w:r>
        <w:rPr>
          <w:rFonts w:ascii="Times New Roman" w:hAnsi="Times New Roman"/>
          <w:sz w:val="24"/>
          <w:szCs w:val="24"/>
        </w:rPr>
        <w:t>a.</w:t>
      </w:r>
      <w:r>
        <w:tab/>
      </w:r>
      <w:r>
        <w:rPr>
          <w:rFonts w:ascii="Times New Roman" w:hAnsi="Times New Roman"/>
          <w:sz w:val="24"/>
          <w:szCs w:val="24"/>
        </w:rPr>
        <w:t>Лікар з надання ПМД (лікар загальної практики – сімейний лікар, лікар-терапевт, лікар-педіатр) – щонайменше одна особа, яка працює за основним місцем роботи у цьому  ЗОЗ та пройшов</w:t>
      </w:r>
      <w:r>
        <w:rPr>
          <w:rFonts w:ascii="Times New Roman" w:hAnsi="Times New Roman"/>
          <w:color w:val="FF0000"/>
          <w:sz w:val="24"/>
          <w:szCs w:val="24"/>
        </w:rPr>
        <w:t xml:space="preserve"> </w:t>
      </w:r>
      <w:r>
        <w:rPr>
          <w:rFonts w:ascii="Times New Roman" w:hAnsi="Times New Roman"/>
          <w:b w:val="1"/>
          <w:sz w:val="24"/>
          <w:szCs w:val="24"/>
        </w:rPr>
        <w:t>відповідне навчання з ведення та лікування пацієнтів з ПНР (або онлайн курс «Ведення поширених психічних розладів на первинному рівні медичної допомоги із використанням керівництва mhGAP» на платформі Академії НСЗУ, або тренінги mhGAP, які проводить ВООЗ та партнерські організації)</w:t>
      </w:r>
      <w:r>
        <w:rPr>
          <w:rFonts w:ascii="Times New Roman" w:hAnsi="Times New Roman"/>
          <w:sz w:val="24"/>
          <w:szCs w:val="24"/>
        </w:rPr>
        <w:t>.</w:t>
      </w:r>
    </w:p>
    <w:p>
      <w:pPr>
        <w:shd w:val="clear" w:fill="FFFFFF"/>
        <w:spacing w:lineRule="auto" w:line="240" w:after="0" w:beforeAutospacing="0" w:afterAutospacing="0"/>
        <w:ind w:hanging="280" w:left="1000"/>
        <w:jc w:val="both"/>
        <w:rPr>
          <w:rFonts w:ascii="Times New Roman" w:hAnsi="Times New Roman"/>
          <w:color w:val="FF0000"/>
          <w:sz w:val="24"/>
          <w:szCs w:val="24"/>
        </w:rPr>
      </w:pPr>
      <w:r>
        <w:rPr>
          <w:rFonts w:ascii="Times New Roman" w:hAnsi="Times New Roman"/>
          <w:b w:val="1"/>
          <w:sz w:val="24"/>
          <w:szCs w:val="24"/>
        </w:rPr>
        <w:t xml:space="preserve">b.Сестра медична (брат медичний) – щонайменше одна особа, яка працює за основним місцем та/або за сумісництвом  у цьому ЗОЗ, на кожного лікаря, що має не менше 400 декларацій у цьому ЗОЗ.  </w:t>
      </w:r>
      <w:r>
        <w:rPr>
          <w:rFonts w:ascii="Times New Roman" w:hAnsi="Times New Roman"/>
          <w:sz w:val="24"/>
          <w:szCs w:val="24"/>
        </w:rPr>
        <w:t xml:space="preserve"> </w:t>
      </w:r>
    </w:p>
    <w:p>
      <w:pPr>
        <w:shd w:val="clear" w:fill="FFFFFF"/>
        <w:spacing w:lineRule="auto" w:line="240" w:before="240" w:after="0" w:beforeAutospacing="0" w:afterAutospacing="0"/>
        <w:jc w:val="both"/>
        <w:rPr>
          <w:rFonts w:ascii="Times New Roman" w:hAnsi="Times New Roman"/>
          <w:i w:val="1"/>
          <w:sz w:val="24"/>
          <w:szCs w:val="24"/>
        </w:rPr>
      </w:pPr>
      <w:r>
        <w:rPr>
          <w:rFonts w:ascii="Times New Roman" w:hAnsi="Times New Roman"/>
          <w:i w:val="1"/>
          <w:sz w:val="24"/>
          <w:szCs w:val="24"/>
        </w:rPr>
        <w:t xml:space="preserve">Додаткові вимоги до спеціалістів та кількості фахівців, які працюють на посадах </w:t>
      </w:r>
    </w:p>
    <w:p>
      <w:pPr>
        <w:shd w:val="clear" w:fill="FFFFFF"/>
        <w:spacing w:lineRule="auto" w:line="240" w:before="240" w:after="0" w:beforeAutospacing="0" w:afterAutospacing="0"/>
        <w:jc w:val="both"/>
        <w:rPr>
          <w:rFonts w:ascii="Times New Roman" w:hAnsi="Times New Roman"/>
          <w:sz w:val="24"/>
          <w:szCs w:val="24"/>
        </w:rPr>
      </w:pPr>
      <w:r>
        <w:rPr>
          <w:rFonts w:ascii="Times New Roman" w:hAnsi="Times New Roman"/>
          <w:i w:val="1"/>
          <w:sz w:val="24"/>
          <w:szCs w:val="24"/>
        </w:rPr>
        <w:t>Послуга</w:t>
      </w:r>
      <w:r>
        <w:rPr>
          <w:rFonts w:ascii="Times New Roman" w:hAnsi="Times New Roman"/>
          <w:b w:val="1"/>
          <w:i w:val="1"/>
          <w:sz w:val="24"/>
          <w:szCs w:val="24"/>
        </w:rPr>
        <w:t xml:space="preserve"> “Супровід та лікування дорослих та дітей, хворих на туберкульоз, на первинному рівні медичної допомоги</w:t>
      </w:r>
      <w:r>
        <w:rPr>
          <w:rFonts w:ascii="Times New Roman" w:hAnsi="Times New Roman"/>
          <w:i w:val="1"/>
          <w:sz w:val="24"/>
          <w:szCs w:val="24"/>
        </w:rPr>
        <w:t>”:</w:t>
      </w:r>
    </w:p>
    <w:p>
      <w:pPr>
        <w:numPr>
          <w:ilvl w:val="0"/>
          <w:numId w:val="17"/>
        </w:numPr>
        <w:shd w:val="clear" w:fill="FFFFFF"/>
        <w:spacing w:lineRule="auto" w:line="240" w:after="240" w:beforeAutospacing="0" w:afterAutospacing="0"/>
        <w:jc w:val="both"/>
        <w:rPr>
          <w:rFonts w:ascii="Times New Roman" w:hAnsi="Times New Roman"/>
          <w:sz w:val="24"/>
          <w:szCs w:val="24"/>
        </w:rPr>
      </w:pPr>
      <w:r>
        <w:rPr>
          <w:rFonts w:ascii="Times New Roman" w:hAnsi="Times New Roman"/>
          <w:sz w:val="24"/>
          <w:szCs w:val="24"/>
        </w:rPr>
        <w:t>За місцем надання медичних послуг:</w:t>
      </w:r>
    </w:p>
    <w:p>
      <w:pPr>
        <w:spacing w:lineRule="auto" w:line="240" w:before="240" w:after="0" w:beforeAutospacing="0" w:afterAutospacing="0"/>
        <w:ind w:hanging="360" w:left="490" w:right="100"/>
        <w:jc w:val="both"/>
        <w:rPr>
          <w:rFonts w:ascii="Times New Roman" w:hAnsi="Times New Roman"/>
          <w:b w:val="1"/>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24"/>
          <w:szCs w:val="24"/>
        </w:rPr>
        <w:t xml:space="preserve">Лікар з надання ПМД (лікар загальної практики – сімейний лікар, лікар-терапевт, лікар-педіатр) – щонайменше 1 особа, яка працює у цьому ЗОЗ і пройшла відповідний курс тематичного удосконалення або навчання з консультування, ведення та лікування пацієнтів з ТБ або мають відповідний чинний сертифікат лікаря-фтизіатра </w:t>
      </w:r>
    </w:p>
    <w:p>
      <w:pPr>
        <w:spacing w:lineRule="auto" w:line="240" w:before="240" w:after="0" w:beforeAutospacing="0" w:afterAutospacing="0"/>
        <w:ind w:hanging="360" w:left="490" w:right="10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w:t>
      </w:r>
      <w:r>
        <w:rPr>
          <w:rFonts w:ascii="Times New Roman" w:hAnsi="Times New Roman"/>
          <w:sz w:val="24"/>
          <w:szCs w:val="24"/>
        </w:rPr>
        <w:t>Сестра медична (брат медичний) – щонайменше 1 особа, яка працює за основним місцем роботи в цьому ЗОЗ</w:t>
      </w:r>
      <w:r>
        <w:rPr>
          <w:rFonts w:ascii="Times New Roman" w:hAnsi="Times New Roman"/>
          <w:b w:val="1"/>
          <w:sz w:val="24"/>
          <w:szCs w:val="24"/>
        </w:rPr>
        <w:t xml:space="preserve"> або за сумісництвом</w:t>
      </w:r>
      <w:r>
        <w:rPr>
          <w:rFonts w:ascii="Times New Roman" w:hAnsi="Times New Roman"/>
          <w:sz w:val="24"/>
          <w:szCs w:val="24"/>
        </w:rPr>
        <w:t>.</w:t>
      </w:r>
    </w:p>
    <w:p>
      <w:pPr>
        <w:shd w:val="clear" w:fill="FFFFFF"/>
        <w:spacing w:lineRule="auto" w:line="240" w:before="240" w:after="0" w:beforeAutospacing="0" w:afterAutospacing="0"/>
        <w:jc w:val="both"/>
        <w:rPr>
          <w:rFonts w:ascii="Times New Roman" w:hAnsi="Times New Roman"/>
          <w:sz w:val="24"/>
          <w:szCs w:val="24"/>
        </w:rPr>
      </w:pPr>
      <w:r>
        <w:rPr>
          <w:rFonts w:ascii="Times New Roman" w:hAnsi="Times New Roman"/>
          <w:b w:val="1"/>
          <w:color w:val="333333"/>
          <w:sz w:val="24"/>
          <w:szCs w:val="24"/>
        </w:rPr>
        <w:t> </w:t>
      </w:r>
    </w:p>
    <w:p>
      <w:pPr>
        <w:spacing w:lineRule="auto" w:line="240" w:after="0" w:beforeAutospacing="0" w:afterAutospacing="0"/>
        <w:jc w:val="both"/>
        <w:rPr>
          <w:rFonts w:ascii="Times New Roman" w:hAnsi="Times New Roman"/>
          <w:sz w:val="24"/>
          <w:szCs w:val="24"/>
        </w:rPr>
      </w:pPr>
    </w:p>
    <w:p>
      <w:pPr>
        <w:spacing w:lineRule="auto" w:line="240" w:before="240" w:after="0" w:beforeAutospacing="0" w:afterAutospacing="0"/>
        <w:ind w:left="360"/>
        <w:rPr>
          <w:rFonts w:ascii="Times New Roman" w:hAnsi="Times New Roman"/>
          <w:sz w:val="24"/>
          <w:szCs w:val="24"/>
        </w:rPr>
      </w:pPr>
      <w:r>
        <w:rPr>
          <w:rFonts w:ascii="Times New Roman" w:hAnsi="Times New Roman"/>
          <w:i w:val="1"/>
          <w:sz w:val="24"/>
          <w:szCs w:val="24"/>
          <w:highlight w:val="white"/>
        </w:rPr>
        <w:t>Вимоги до переліку обладнання:</w:t>
      </w:r>
    </w:p>
    <w:p>
      <w:pPr>
        <w:numPr>
          <w:ilvl w:val="0"/>
          <w:numId w:val="18"/>
        </w:numPr>
        <w:shd w:val="clear" w:fill="FFFFFF"/>
        <w:spacing w:lineRule="auto" w:line="240" w:after="240" w:beforeAutospacing="0" w:afterAutospacing="0"/>
        <w:jc w:val="both"/>
        <w:rPr>
          <w:rFonts w:ascii="Times New Roman" w:hAnsi="Times New Roman"/>
        </w:rPr>
      </w:pPr>
      <w:r>
        <w:rPr>
          <w:rFonts w:ascii="Times New Roman" w:hAnsi="Times New Roman"/>
          <w:sz w:val="24"/>
          <w:szCs w:val="24"/>
        </w:rPr>
        <w:t>За місцем надання медичних послуг:</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електрокардіограф багатоканальний;</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тонометр та/або тонометр педіатричний з манжетками для дітей різного віку;</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ваги для дорослих та ваги дитячі;</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ростомір;</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глюкометр;</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пульсоксиметр;</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термометр безконтактний;</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отоофтальмоскоп;</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таблиця для перевірки гостроти зору;</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пікфлуометр та/або спірометр цифровий;</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аптечка для надання невідкладної допомоги;</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мішок ручної вентиляції легенів;</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 та/або автоматичний зовнішній дефібрилятор – за умови понад 20 000 поданих декларацій у надавача медичних послуг за відповідним місцем надання послуг;</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стетоскоп;</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камертон;</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тестові стрічки для вимірювання глюкози в крові;</w:t>
      </w:r>
    </w:p>
    <w:p>
      <w:pPr>
        <w:numPr>
          <w:ilvl w:val="0"/>
          <w:numId w:val="27"/>
        </w:numPr>
        <w:shd w:val="clear" w:fill="FFFFFF"/>
        <w:spacing w:lineRule="auto" w:line="240" w:after="0" w:beforeAutospacing="0" w:afterAutospacing="0"/>
        <w:jc w:val="both"/>
        <w:rPr>
          <w:rFonts w:ascii="Times New Roman" w:hAnsi="Times New Roman"/>
          <w:sz w:val="24"/>
          <w:szCs w:val="24"/>
        </w:rPr>
      </w:pPr>
      <w:r>
        <w:rPr>
          <w:rFonts w:ascii="Times New Roman" w:hAnsi="Times New Roman"/>
          <w:sz w:val="24"/>
          <w:szCs w:val="24"/>
        </w:rPr>
        <w:t>вимірювальна стрічка;</w:t>
      </w:r>
    </w:p>
    <w:p>
      <w:pPr>
        <w:numPr>
          <w:ilvl w:val="0"/>
          <w:numId w:val="27"/>
        </w:numPr>
        <w:shd w:val="clear" w:fill="FFFFFF"/>
        <w:spacing w:lineRule="auto" w:line="240" w:after="240" w:beforeAutospacing="0" w:afterAutospacing="0"/>
        <w:jc w:val="both"/>
        <w:rPr>
          <w:rFonts w:ascii="Times New Roman" w:hAnsi="Times New Roman"/>
          <w:sz w:val="24"/>
          <w:szCs w:val="24"/>
        </w:rPr>
      </w:pPr>
      <w:r>
        <w:rPr>
          <w:rFonts w:ascii="Times New Roman" w:hAnsi="Times New Roman"/>
          <w:sz w:val="24"/>
          <w:szCs w:val="24"/>
        </w:rPr>
        <w:t>холодильник для дотримання холодового ланцюга зберігання вакцин.</w:t>
      </w:r>
    </w:p>
    <w:p>
      <w:pPr>
        <w:spacing w:lineRule="auto" w:line="240" w:before="240" w:after="0" w:beforeAutospacing="0" w:afterAutospacing="0"/>
        <w:ind w:left="360"/>
        <w:rPr>
          <w:rFonts w:ascii="Times New Roman" w:hAnsi="Times New Roman"/>
          <w:sz w:val="24"/>
          <w:szCs w:val="24"/>
        </w:rPr>
      </w:pPr>
      <w:r>
        <w:rPr>
          <w:rFonts w:ascii="Times New Roman" w:hAnsi="Times New Roman"/>
          <w:sz w:val="24"/>
          <w:szCs w:val="24"/>
          <w:highlight w:val="white"/>
        </w:rPr>
        <w:t> </w:t>
      </w:r>
      <w:r>
        <w:rPr>
          <w:rFonts w:ascii="Times New Roman" w:hAnsi="Times New Roman"/>
          <w:i w:val="1"/>
          <w:sz w:val="24"/>
          <w:szCs w:val="24"/>
          <w:highlight w:val="white"/>
        </w:rPr>
        <w:t>Інші вимоги:</w:t>
      </w:r>
    </w:p>
    <w:p>
      <w:pPr>
        <w:numPr>
          <w:ilvl w:val="0"/>
          <w:numId w:val="3"/>
        </w:numPr>
        <w:shd w:val="clear" w:fill="FFFFFF"/>
        <w:spacing w:lineRule="auto" w:line="240" w:after="0" w:beforeAutospacing="0" w:afterAutospacing="0"/>
        <w:jc w:val="both"/>
        <w:rPr>
          <w:rFonts w:ascii="Times New Roman" w:hAnsi="Times New Roman"/>
        </w:rPr>
      </w:pPr>
      <w:r>
        <w:rPr>
          <w:rFonts w:ascii="Times New Roman" w:hAnsi="Times New Roman"/>
          <w:sz w:val="24"/>
          <w:szCs w:val="24"/>
        </w:rPr>
        <w:t>Наявність ліцензії на провадження господарської діяльності з медичної практики за спеціальністю загальна практика – сімейна медицина та/або педіатрія, та/або терапія.</w:t>
      </w:r>
    </w:p>
    <w:p>
      <w:pPr>
        <w:numPr>
          <w:ilvl w:val="0"/>
          <w:numId w:val="3"/>
        </w:numPr>
        <w:shd w:val="clear" w:fill="FFFFFF"/>
        <w:spacing w:lineRule="auto" w:line="240" w:after="480" w:beforeAutospacing="0" w:afterAutospacing="0"/>
        <w:jc w:val="both"/>
        <w:rPr>
          <w:rFonts w:ascii="Times New Roman" w:hAnsi="Times New Roman"/>
        </w:rPr>
      </w:pPr>
      <w:r>
        <w:rPr>
          <w:rFonts w:ascii="Times New Roman" w:hAnsi="Times New Roman"/>
          <w:sz w:val="24"/>
          <w:szCs w:val="24"/>
        </w:rPr>
        <w:t>Використання міжнародної класифікації ІСРС-2-Е для подання даних до Електронної системи охорони здоров’я.</w:t>
      </w:r>
    </w:p>
    <w:p>
      <w:pPr>
        <w:shd w:val="clear" w:fill="FFFFFF"/>
        <w:spacing w:lineRule="auto" w:line="240" w:before="240" w:after="240" w:beforeAutospacing="0" w:afterAutospacing="0"/>
        <w:jc w:val="both"/>
        <w:rPr>
          <w:rFonts w:ascii="Times New Roman" w:hAnsi="Times New Roman"/>
          <w:sz w:val="24"/>
          <w:szCs w:val="24"/>
        </w:rPr>
      </w:pPr>
      <w:r>
        <w:rPr>
          <w:rFonts w:ascii="Times New Roman" w:hAnsi="Times New Roman"/>
          <w:i w:val="1"/>
          <w:sz w:val="24"/>
          <w:szCs w:val="24"/>
        </w:rPr>
        <w:t>Індикатори, за якими проводиться оцінка:</w:t>
      </w:r>
    </w:p>
    <w:p>
      <w:pPr>
        <w:shd w:val="clear" w:fill="FFFFFF"/>
        <w:spacing w:lineRule="auto" w:line="240" w:after="0" w:beforeAutospacing="0" w:afterAutospacing="0"/>
        <w:ind w:hanging="300" w:left="720"/>
        <w:jc w:val="both"/>
        <w:rPr>
          <w:rFonts w:ascii="Times New Roman" w:hAnsi="Times New Roman"/>
          <w:sz w:val="24"/>
          <w:szCs w:val="24"/>
        </w:rPr>
      </w:pPr>
      <w:r>
        <w:rPr>
          <w:rFonts w:ascii="Times New Roman" w:hAnsi="Times New Roman"/>
          <w:sz w:val="24"/>
          <w:szCs w:val="24"/>
        </w:rPr>
        <w:t>1.</w:t>
      </w:r>
      <w:r>
        <w:tab/>
      </w:r>
      <w:r>
        <w:rPr>
          <w:rFonts w:ascii="Times New Roman" w:hAnsi="Times New Roman"/>
          <w:sz w:val="24"/>
          <w:szCs w:val="24"/>
        </w:rPr>
        <w:t>Індикатор рівня вакцинації: досягнення цільового рівня охоплення імунізацією згідно з Календарем профілактичних щеплень, затвердженим МОЗ, середній рівень по країні за 2024 рік +20% для кожного окремого захворювання, для когорти дітей до 6 років (включно).</w:t>
      </w:r>
    </w:p>
    <w:p>
      <w:pPr>
        <w:shd w:val="clear" w:fill="FFFFFF"/>
        <w:spacing w:lineRule="auto" w:line="240" w:after="0" w:beforeAutospacing="0" w:afterAutospacing="0"/>
        <w:ind w:hanging="300" w:left="720"/>
        <w:jc w:val="both"/>
        <w:rPr>
          <w:rFonts w:ascii="Times New Roman" w:hAnsi="Times New Roman"/>
          <w:sz w:val="24"/>
          <w:szCs w:val="24"/>
        </w:rPr>
      </w:pPr>
      <w:r>
        <w:rPr>
          <w:rFonts w:ascii="Times New Roman" w:hAnsi="Times New Roman"/>
          <w:sz w:val="24"/>
          <w:szCs w:val="24"/>
        </w:rPr>
        <w:t>2.</w:t>
      </w:r>
      <w:r>
        <w:tab/>
      </w:r>
      <w:r>
        <w:rPr>
          <w:rFonts w:ascii="Times New Roman" w:hAnsi="Times New Roman"/>
          <w:sz w:val="24"/>
          <w:szCs w:val="24"/>
        </w:rPr>
        <w:t>Індикатор рівня охоплення медичними профілактичними оглядами пацієнтів віком від 40-64 років та віком від 65+ років (досягнення цільового рівня охоплення оглядами зазначених груп - середній рівень по країні за 2024 рік + 10%).</w:t>
      </w:r>
    </w:p>
    <w:p>
      <w:pPr>
        <w:shd w:val="clear" w:fill="FFFFFF"/>
        <w:spacing w:lineRule="auto" w:line="240" w:after="0" w:beforeAutospacing="0" w:afterAutospacing="0"/>
        <w:ind w:hanging="300" w:left="720"/>
        <w:jc w:val="both"/>
        <w:rPr>
          <w:rFonts w:ascii="Times New Roman" w:hAnsi="Times New Roman"/>
          <w:color w:val="000000"/>
          <w:sz w:val="24"/>
          <w:szCs w:val="24"/>
        </w:rPr>
      </w:pPr>
    </w:p>
    <w:p>
      <w:pPr>
        <w:shd w:val="clear" w:fill="FFFFFF"/>
        <w:spacing w:lineRule="auto" w:line="240" w:after="0" w:beforeAutospacing="0" w:afterAutospacing="0"/>
        <w:ind w:hanging="300" w:left="720"/>
        <w:jc w:val="both"/>
        <w:rPr>
          <w:rFonts w:ascii="Times New Roman" w:hAnsi="Times New Roman"/>
          <w:sz w:val="24"/>
          <w:szCs w:val="24"/>
        </w:rPr>
      </w:pPr>
    </w:p>
    <w:p>
      <w:pPr>
        <w:shd w:val="clear" w:fill="FFFFFF"/>
        <w:spacing w:lineRule="auto" w:line="240" w:after="0" w:beforeAutospacing="0" w:afterAutospacing="0"/>
        <w:jc w:val="both"/>
        <w:rPr>
          <w:rFonts w:ascii="Times New Roman" w:hAnsi="Times New Roman"/>
          <w:sz w:val="24"/>
          <w:szCs w:val="24"/>
        </w:rPr>
      </w:pPr>
    </w:p>
    <w:sectPr>
      <w:type w:val="nextPage"/>
      <w:pgSz w:w="11906" w:h="16838" w:code="0"/>
      <w:pgMar w:left="1701" w:right="850" w:top="1134" w:bottom="1134" w:header="708" w:footer="708" w:gutter="0"/>
      <w:pgNumType w:start="1" w:chapSep="period"/>
      <w:cols w:equalWidth="1" w:space="720"/>
    </w:sectPr>
  </w:body>
</w:document>
</file>

<file path=word/numbering.xml><?xml version="1.0" encoding="utf-8"?>
<w:numbering xmlns:w="http://schemas.openxmlformats.org/wordprocessingml/2006/main">
  <w:abstractNum w:abstractNumId="0">
    <w:nsid w:val="02B87DC2"/>
    <w:multiLevelType w:val="multilevel"/>
    <w:lvl w:ilvl="0">
      <w:start w:val="1"/>
      <w:numFmt w:val="bullet"/>
      <w:suff w:val="tab"/>
      <w:lvlText w:val="-"/>
      <w:lvlJc w:val="left"/>
      <w:pPr>
        <w:ind w:hanging="360" w:left="720"/>
      </w:pPr>
      <w:rPr>
        <w:u w:val="none"/>
      </w:rPr>
    </w:lvl>
    <w:lvl w:ilvl="1">
      <w:start w:val="1"/>
      <w:numFmt w:val="bullet"/>
      <w:suff w:val="tab"/>
      <w:lvlText w:val="-"/>
      <w:lvlJc w:val="left"/>
      <w:pPr>
        <w:ind w:hanging="360" w:left="1440"/>
      </w:pPr>
      <w:rPr>
        <w:u w:val="none"/>
      </w:rPr>
    </w:lvl>
    <w:lvl w:ilvl="2">
      <w:start w:val="1"/>
      <w:numFmt w:val="bullet"/>
      <w:suff w:val="tab"/>
      <w:lvlText w:val="-"/>
      <w:lvlJc w:val="left"/>
      <w:pPr>
        <w:ind w:hanging="360" w:left="2160"/>
      </w:pPr>
      <w:rPr>
        <w:u w:val="none"/>
      </w:rPr>
    </w:lvl>
    <w:lvl w:ilvl="3">
      <w:start w:val="1"/>
      <w:numFmt w:val="bullet"/>
      <w:suff w:val="tab"/>
      <w:lvlText w:val="-"/>
      <w:lvlJc w:val="left"/>
      <w:pPr>
        <w:ind w:hanging="360" w:left="2880"/>
      </w:pPr>
      <w:rPr>
        <w:u w:val="none"/>
      </w:rPr>
    </w:lvl>
    <w:lvl w:ilvl="4">
      <w:start w:val="1"/>
      <w:numFmt w:val="bullet"/>
      <w:suff w:val="tab"/>
      <w:lvlText w:val="-"/>
      <w:lvlJc w:val="left"/>
      <w:pPr>
        <w:ind w:hanging="360" w:left="3600"/>
      </w:pPr>
      <w:rPr>
        <w:u w:val="none"/>
      </w:rPr>
    </w:lvl>
    <w:lvl w:ilvl="5">
      <w:start w:val="1"/>
      <w:numFmt w:val="bullet"/>
      <w:suff w:val="tab"/>
      <w:lvlText w:val="-"/>
      <w:lvlJc w:val="left"/>
      <w:pPr>
        <w:ind w:hanging="360" w:left="4320"/>
      </w:pPr>
      <w:rPr>
        <w:u w:val="none"/>
      </w:rPr>
    </w:lvl>
    <w:lvl w:ilvl="6">
      <w:start w:val="1"/>
      <w:numFmt w:val="bullet"/>
      <w:suff w:val="tab"/>
      <w:lvlText w:val="-"/>
      <w:lvlJc w:val="left"/>
      <w:pPr>
        <w:ind w:hanging="360" w:left="5040"/>
      </w:pPr>
      <w:rPr>
        <w:u w:val="none"/>
      </w:rPr>
    </w:lvl>
    <w:lvl w:ilvl="7">
      <w:start w:val="1"/>
      <w:numFmt w:val="bullet"/>
      <w:suff w:val="tab"/>
      <w:lvlText w:val="-"/>
      <w:lvlJc w:val="left"/>
      <w:pPr>
        <w:ind w:hanging="360" w:left="5760"/>
      </w:pPr>
      <w:rPr>
        <w:u w:val="none"/>
      </w:rPr>
    </w:lvl>
    <w:lvl w:ilvl="8">
      <w:start w:val="1"/>
      <w:numFmt w:val="bullet"/>
      <w:suff w:val="tab"/>
      <w:lvlText w:val="-"/>
      <w:lvlJc w:val="left"/>
      <w:pPr>
        <w:ind w:hanging="360" w:left="6480"/>
      </w:pPr>
      <w:rPr>
        <w:u w:val="none"/>
      </w:rPr>
    </w:lvl>
  </w:abstractNum>
  <w:abstractNum w:abstractNumId="1">
    <w:nsid w:val="1A0B60DE"/>
    <w:multiLevelType w:val="multilevel"/>
    <w:lvl w:ilvl="0">
      <w:start w:val="16"/>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1F0F42FD"/>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3">
    <w:nsid w:val="23145D6B"/>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4">
    <w:nsid w:val="248B324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283D6F66"/>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6">
    <w:nsid w:val="28B605F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2A814BC2"/>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8">
    <w:nsid w:val="2B8D00A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9">
    <w:nsid w:val="32B756A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347B0D30"/>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11">
    <w:nsid w:val="35C34581"/>
    <w:multiLevelType w:val="multilevel"/>
    <w:lvl w:ilvl="0">
      <w:start w:val="1"/>
      <w:numFmt w:val="decimal"/>
      <w:suff w:val="tab"/>
      <w:lvlText w:val="%1."/>
      <w:lvlJc w:val="left"/>
      <w:pPr>
        <w:ind w:hanging="360" w:left="700"/>
      </w:pPr>
      <w:rPr/>
    </w:lvl>
    <w:lvl w:ilvl="1">
      <w:start w:val="1"/>
      <w:numFmt w:val="lowerLetter"/>
      <w:suff w:val="tab"/>
      <w:lvlText w:val="%2."/>
      <w:lvlJc w:val="left"/>
      <w:pPr>
        <w:ind w:hanging="360" w:left="1420"/>
      </w:pPr>
      <w:rPr/>
    </w:lvl>
    <w:lvl w:ilvl="2">
      <w:start w:val="1"/>
      <w:numFmt w:val="lowerRoman"/>
      <w:suff w:val="tab"/>
      <w:lvlText w:val="%3."/>
      <w:lvlJc w:val="right"/>
      <w:pPr>
        <w:ind w:hanging="180" w:left="2140"/>
      </w:pPr>
      <w:rPr/>
    </w:lvl>
    <w:lvl w:ilvl="3">
      <w:start w:val="1"/>
      <w:numFmt w:val="decimal"/>
      <w:suff w:val="tab"/>
      <w:lvlText w:val="%4."/>
      <w:lvlJc w:val="left"/>
      <w:pPr>
        <w:ind w:hanging="360" w:left="2860"/>
      </w:pPr>
      <w:rPr/>
    </w:lvl>
    <w:lvl w:ilvl="4">
      <w:start w:val="1"/>
      <w:numFmt w:val="lowerLetter"/>
      <w:suff w:val="tab"/>
      <w:lvlText w:val="%5."/>
      <w:lvlJc w:val="left"/>
      <w:pPr>
        <w:ind w:hanging="360" w:left="3580"/>
      </w:pPr>
      <w:rPr/>
    </w:lvl>
    <w:lvl w:ilvl="5">
      <w:start w:val="1"/>
      <w:numFmt w:val="lowerRoman"/>
      <w:suff w:val="tab"/>
      <w:lvlText w:val="%6."/>
      <w:lvlJc w:val="right"/>
      <w:pPr>
        <w:ind w:hanging="180" w:left="4300"/>
      </w:pPr>
      <w:rPr/>
    </w:lvl>
    <w:lvl w:ilvl="6">
      <w:start w:val="1"/>
      <w:numFmt w:val="decimal"/>
      <w:suff w:val="tab"/>
      <w:lvlText w:val="%7."/>
      <w:lvlJc w:val="left"/>
      <w:pPr>
        <w:ind w:hanging="360" w:left="5020"/>
      </w:pPr>
      <w:rPr/>
    </w:lvl>
    <w:lvl w:ilvl="7">
      <w:start w:val="1"/>
      <w:numFmt w:val="lowerLetter"/>
      <w:suff w:val="tab"/>
      <w:lvlText w:val="%8."/>
      <w:lvlJc w:val="left"/>
      <w:pPr>
        <w:ind w:hanging="360" w:left="5740"/>
      </w:pPr>
      <w:rPr/>
    </w:lvl>
    <w:lvl w:ilvl="8">
      <w:start w:val="1"/>
      <w:numFmt w:val="lowerRoman"/>
      <w:suff w:val="tab"/>
      <w:lvlText w:val="%9."/>
      <w:lvlJc w:val="right"/>
      <w:pPr>
        <w:ind w:hanging="180" w:left="6460"/>
      </w:pPr>
      <w:rPr/>
    </w:lvl>
  </w:abstractNum>
  <w:abstractNum w:abstractNumId="12">
    <w:nsid w:val="38AB3B04"/>
    <w:multiLevelType w:val="multilevel"/>
    <w:lvl w:ilvl="0">
      <w:start w:val="1"/>
      <w:numFmt w:val="decimal"/>
      <w:suff w:val="tab"/>
      <w:lvlText w:val="%1."/>
      <w:lvlJc w:val="left"/>
      <w:pPr>
        <w:ind w:hanging="360" w:left="720"/>
      </w:pPr>
      <w:rPr>
        <w:u w:val="none"/>
      </w:rPr>
    </w:lvl>
    <w:lvl w:ilvl="1">
      <w:start w:val="1"/>
      <w:numFmt w:val="lowerLetter"/>
      <w:suff w:val="tab"/>
      <w:lvlText w:val="%2."/>
      <w:lvlJc w:val="left"/>
      <w:pPr>
        <w:ind w:hanging="360" w:left="1440"/>
      </w:pPr>
      <w:rPr>
        <w:u w:val="none"/>
      </w:rPr>
    </w:lvl>
    <w:lvl w:ilvl="2">
      <w:start w:val="1"/>
      <w:numFmt w:val="lowerRoman"/>
      <w:suff w:val="tab"/>
      <w:lvlText w:val="%3."/>
      <w:lvlJc w:val="right"/>
      <w:pPr>
        <w:ind w:hanging="360" w:left="2160"/>
      </w:pPr>
      <w:rPr>
        <w:u w:val="none"/>
      </w:rPr>
    </w:lvl>
    <w:lvl w:ilvl="3">
      <w:start w:val="1"/>
      <w:numFmt w:val="decimal"/>
      <w:suff w:val="tab"/>
      <w:lvlText w:val="%4."/>
      <w:lvlJc w:val="left"/>
      <w:pPr>
        <w:ind w:hanging="360" w:left="2880"/>
      </w:pPr>
      <w:rPr>
        <w:u w:val="none"/>
      </w:rPr>
    </w:lvl>
    <w:lvl w:ilvl="4">
      <w:start w:val="1"/>
      <w:numFmt w:val="lowerLetter"/>
      <w:suff w:val="tab"/>
      <w:lvlText w:val="%5."/>
      <w:lvlJc w:val="left"/>
      <w:pPr>
        <w:ind w:hanging="360" w:left="3600"/>
      </w:pPr>
      <w:rPr>
        <w:u w:val="none"/>
      </w:rPr>
    </w:lvl>
    <w:lvl w:ilvl="5">
      <w:start w:val="1"/>
      <w:numFmt w:val="lowerRoman"/>
      <w:suff w:val="tab"/>
      <w:lvlText w:val="%6."/>
      <w:lvlJc w:val="right"/>
      <w:pPr>
        <w:ind w:hanging="360" w:left="4320"/>
      </w:pPr>
      <w:rPr>
        <w:u w:val="none"/>
      </w:rPr>
    </w:lvl>
    <w:lvl w:ilvl="6">
      <w:start w:val="1"/>
      <w:numFmt w:val="decimal"/>
      <w:suff w:val="tab"/>
      <w:lvlText w:val="%7."/>
      <w:lvlJc w:val="left"/>
      <w:pPr>
        <w:ind w:hanging="360" w:left="5040"/>
      </w:pPr>
      <w:rPr>
        <w:u w:val="none"/>
      </w:rPr>
    </w:lvl>
    <w:lvl w:ilvl="7">
      <w:start w:val="1"/>
      <w:numFmt w:val="lowerLetter"/>
      <w:suff w:val="tab"/>
      <w:lvlText w:val="%8."/>
      <w:lvlJc w:val="left"/>
      <w:pPr>
        <w:ind w:hanging="360" w:left="5760"/>
      </w:pPr>
      <w:rPr>
        <w:u w:val="none"/>
      </w:rPr>
    </w:lvl>
    <w:lvl w:ilvl="8">
      <w:start w:val="1"/>
      <w:numFmt w:val="lowerRoman"/>
      <w:suff w:val="tab"/>
      <w:lvlText w:val="%9."/>
      <w:lvlJc w:val="right"/>
      <w:pPr>
        <w:ind w:hanging="360" w:left="6480"/>
      </w:pPr>
      <w:rPr>
        <w:u w:val="none"/>
      </w:rPr>
    </w:lvl>
  </w:abstractNum>
  <w:abstractNum w:abstractNumId="13">
    <w:nsid w:val="40746A77"/>
    <w:multiLevelType w:val="multilevel"/>
    <w:lvl w:ilvl="0">
      <w:start w:val="1"/>
      <w:numFmt w:val="lowerLetter"/>
      <w:suff w:val="tab"/>
      <w:lvlText w:val="%1."/>
      <w:lvlJc w:val="left"/>
      <w:pPr>
        <w:ind w:hanging="360" w:left="720"/>
      </w:pPr>
      <w:rPr>
        <w:u w:val="none"/>
      </w:rPr>
    </w:lvl>
    <w:lvl w:ilvl="1">
      <w:start w:val="1"/>
      <w:numFmt w:val="lowerRoman"/>
      <w:suff w:val="tab"/>
      <w:lvlText w:val="%2."/>
      <w:lvlJc w:val="right"/>
      <w:pPr>
        <w:ind w:hanging="360" w:left="1440"/>
      </w:pPr>
      <w:rPr>
        <w:u w:val="none"/>
      </w:rPr>
    </w:lvl>
    <w:lvl w:ilvl="2">
      <w:start w:val="1"/>
      <w:numFmt w:val="decimal"/>
      <w:suff w:val="tab"/>
      <w:lvlText w:val="%3."/>
      <w:lvlJc w:val="left"/>
      <w:pPr>
        <w:ind w:hanging="360" w:left="2160"/>
      </w:pPr>
      <w:rPr>
        <w:u w:val="none"/>
      </w:rPr>
    </w:lvl>
    <w:lvl w:ilvl="3">
      <w:start w:val="1"/>
      <w:numFmt w:val="lowerLetter"/>
      <w:suff w:val="tab"/>
      <w:lvlText w:val="%4."/>
      <w:lvlJc w:val="left"/>
      <w:pPr>
        <w:ind w:hanging="360" w:left="2880"/>
      </w:pPr>
      <w:rPr>
        <w:u w:val="none"/>
      </w:rPr>
    </w:lvl>
    <w:lvl w:ilvl="4">
      <w:start w:val="1"/>
      <w:numFmt w:val="lowerRoman"/>
      <w:suff w:val="tab"/>
      <w:lvlText w:val="%5."/>
      <w:lvlJc w:val="right"/>
      <w:pPr>
        <w:ind w:hanging="360" w:left="3600"/>
      </w:pPr>
      <w:rPr>
        <w:u w:val="none"/>
      </w:rPr>
    </w:lvl>
    <w:lvl w:ilvl="5">
      <w:start w:val="1"/>
      <w:numFmt w:val="decimal"/>
      <w:suff w:val="tab"/>
      <w:lvlText w:val="%6."/>
      <w:lvlJc w:val="left"/>
      <w:pPr>
        <w:ind w:hanging="360" w:left="4320"/>
      </w:pPr>
      <w:rPr>
        <w:u w:val="none"/>
      </w:rPr>
    </w:lvl>
    <w:lvl w:ilvl="6">
      <w:start w:val="1"/>
      <w:numFmt w:val="lowerLetter"/>
      <w:suff w:val="tab"/>
      <w:lvlText w:val="%7."/>
      <w:lvlJc w:val="left"/>
      <w:pPr>
        <w:ind w:hanging="360" w:left="5040"/>
      </w:pPr>
      <w:rPr>
        <w:u w:val="none"/>
      </w:rPr>
    </w:lvl>
    <w:lvl w:ilvl="7">
      <w:start w:val="1"/>
      <w:numFmt w:val="lowerRoman"/>
      <w:suff w:val="tab"/>
      <w:lvlText w:val="%8."/>
      <w:lvlJc w:val="right"/>
      <w:pPr>
        <w:ind w:hanging="360" w:left="5760"/>
      </w:pPr>
      <w:rPr>
        <w:u w:val="none"/>
      </w:rPr>
    </w:lvl>
    <w:lvl w:ilvl="8">
      <w:start w:val="1"/>
      <w:numFmt w:val="decimal"/>
      <w:suff w:val="tab"/>
      <w:lvlText w:val="%9."/>
      <w:lvlJc w:val="left"/>
      <w:pPr>
        <w:ind w:hanging="360" w:left="6480"/>
      </w:pPr>
      <w:rPr>
        <w:u w:val="none"/>
      </w:rPr>
    </w:lvl>
  </w:abstractNum>
  <w:abstractNum w:abstractNumId="14">
    <w:nsid w:val="42A6103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
    <w:nsid w:val="441D4D4E"/>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16">
    <w:nsid w:val="484E1042"/>
    <w:multiLevelType w:val="multilevel"/>
    <w:lvl w:ilvl="0">
      <w:start w:val="1"/>
      <w:numFmt w:val="decimal"/>
      <w:suff w:val="tab"/>
      <w:lvlText w:val="%1."/>
      <w:lvlJc w:val="left"/>
      <w:pPr>
        <w:ind w:hanging="360" w:left="700"/>
      </w:pPr>
      <w:rPr/>
    </w:lvl>
    <w:lvl w:ilvl="1">
      <w:start w:val="1"/>
      <w:numFmt w:val="lowerLetter"/>
      <w:suff w:val="tab"/>
      <w:lvlText w:val="%2."/>
      <w:lvlJc w:val="left"/>
      <w:pPr>
        <w:ind w:hanging="360" w:left="1420"/>
      </w:pPr>
      <w:rPr/>
    </w:lvl>
    <w:lvl w:ilvl="2">
      <w:start w:val="1"/>
      <w:numFmt w:val="lowerRoman"/>
      <w:suff w:val="tab"/>
      <w:lvlText w:val="%3."/>
      <w:lvlJc w:val="right"/>
      <w:pPr>
        <w:ind w:hanging="180" w:left="2140"/>
      </w:pPr>
      <w:rPr/>
    </w:lvl>
    <w:lvl w:ilvl="3">
      <w:start w:val="1"/>
      <w:numFmt w:val="decimal"/>
      <w:suff w:val="tab"/>
      <w:lvlText w:val="%4."/>
      <w:lvlJc w:val="left"/>
      <w:pPr>
        <w:ind w:hanging="360" w:left="2860"/>
      </w:pPr>
      <w:rPr/>
    </w:lvl>
    <w:lvl w:ilvl="4">
      <w:start w:val="1"/>
      <w:numFmt w:val="lowerLetter"/>
      <w:suff w:val="tab"/>
      <w:lvlText w:val="%5."/>
      <w:lvlJc w:val="left"/>
      <w:pPr>
        <w:ind w:hanging="360" w:left="3580"/>
      </w:pPr>
      <w:rPr/>
    </w:lvl>
    <w:lvl w:ilvl="5">
      <w:start w:val="1"/>
      <w:numFmt w:val="lowerRoman"/>
      <w:suff w:val="tab"/>
      <w:lvlText w:val="%6."/>
      <w:lvlJc w:val="right"/>
      <w:pPr>
        <w:ind w:hanging="180" w:left="4300"/>
      </w:pPr>
      <w:rPr/>
    </w:lvl>
    <w:lvl w:ilvl="6">
      <w:start w:val="1"/>
      <w:numFmt w:val="decimal"/>
      <w:suff w:val="tab"/>
      <w:lvlText w:val="%7."/>
      <w:lvlJc w:val="left"/>
      <w:pPr>
        <w:ind w:hanging="360" w:left="5020"/>
      </w:pPr>
      <w:rPr/>
    </w:lvl>
    <w:lvl w:ilvl="7">
      <w:start w:val="1"/>
      <w:numFmt w:val="lowerLetter"/>
      <w:suff w:val="tab"/>
      <w:lvlText w:val="%8."/>
      <w:lvlJc w:val="left"/>
      <w:pPr>
        <w:ind w:hanging="360" w:left="5740"/>
      </w:pPr>
      <w:rPr/>
    </w:lvl>
    <w:lvl w:ilvl="8">
      <w:start w:val="1"/>
      <w:numFmt w:val="lowerRoman"/>
      <w:suff w:val="tab"/>
      <w:lvlText w:val="%9."/>
      <w:lvlJc w:val="right"/>
      <w:pPr>
        <w:ind w:hanging="180" w:left="6460"/>
      </w:pPr>
      <w:rPr/>
    </w:lvl>
  </w:abstractNum>
  <w:abstractNum w:abstractNumId="17">
    <w:nsid w:val="4C620BE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52670699"/>
    <w:multiLevelType w:val="multilevel"/>
    <w:lvl w:ilvl="0">
      <w:start w:val="1"/>
      <w:numFmt w:val="lowerLetter"/>
      <w:suff w:val="tab"/>
      <w:lvlText w:val="%1."/>
      <w:lvlJc w:val="left"/>
      <w:pPr>
        <w:ind w:hanging="360" w:left="720"/>
      </w:pPr>
      <w:rPr>
        <w:u w:val="none"/>
      </w:rPr>
    </w:lvl>
    <w:lvl w:ilvl="1">
      <w:start w:val="1"/>
      <w:numFmt w:val="lowerRoman"/>
      <w:suff w:val="tab"/>
      <w:lvlText w:val="%2."/>
      <w:lvlJc w:val="right"/>
      <w:pPr>
        <w:ind w:hanging="360" w:left="1440"/>
      </w:pPr>
      <w:rPr>
        <w:u w:val="none"/>
      </w:rPr>
    </w:lvl>
    <w:lvl w:ilvl="2">
      <w:start w:val="1"/>
      <w:numFmt w:val="decimal"/>
      <w:suff w:val="tab"/>
      <w:lvlText w:val="%3."/>
      <w:lvlJc w:val="left"/>
      <w:pPr>
        <w:ind w:hanging="360" w:left="2160"/>
      </w:pPr>
      <w:rPr>
        <w:u w:val="none"/>
      </w:rPr>
    </w:lvl>
    <w:lvl w:ilvl="3">
      <w:start w:val="1"/>
      <w:numFmt w:val="lowerLetter"/>
      <w:suff w:val="tab"/>
      <w:lvlText w:val="%4."/>
      <w:lvlJc w:val="left"/>
      <w:pPr>
        <w:ind w:hanging="360" w:left="2880"/>
      </w:pPr>
      <w:rPr>
        <w:u w:val="none"/>
      </w:rPr>
    </w:lvl>
    <w:lvl w:ilvl="4">
      <w:start w:val="1"/>
      <w:numFmt w:val="lowerRoman"/>
      <w:suff w:val="tab"/>
      <w:lvlText w:val="%5."/>
      <w:lvlJc w:val="right"/>
      <w:pPr>
        <w:ind w:hanging="360" w:left="3600"/>
      </w:pPr>
      <w:rPr>
        <w:u w:val="none"/>
      </w:rPr>
    </w:lvl>
    <w:lvl w:ilvl="5">
      <w:start w:val="1"/>
      <w:numFmt w:val="decimal"/>
      <w:suff w:val="tab"/>
      <w:lvlText w:val="%6."/>
      <w:lvlJc w:val="left"/>
      <w:pPr>
        <w:ind w:hanging="360" w:left="4320"/>
      </w:pPr>
      <w:rPr>
        <w:u w:val="none"/>
      </w:rPr>
    </w:lvl>
    <w:lvl w:ilvl="6">
      <w:start w:val="1"/>
      <w:numFmt w:val="lowerLetter"/>
      <w:suff w:val="tab"/>
      <w:lvlText w:val="%7."/>
      <w:lvlJc w:val="left"/>
      <w:pPr>
        <w:ind w:hanging="360" w:left="5040"/>
      </w:pPr>
      <w:rPr>
        <w:u w:val="none"/>
      </w:rPr>
    </w:lvl>
    <w:lvl w:ilvl="7">
      <w:start w:val="1"/>
      <w:numFmt w:val="lowerRoman"/>
      <w:suff w:val="tab"/>
      <w:lvlText w:val="%8."/>
      <w:lvlJc w:val="right"/>
      <w:pPr>
        <w:ind w:hanging="360" w:left="5760"/>
      </w:pPr>
      <w:rPr>
        <w:u w:val="none"/>
      </w:rPr>
    </w:lvl>
    <w:lvl w:ilvl="8">
      <w:start w:val="1"/>
      <w:numFmt w:val="decimal"/>
      <w:suff w:val="tab"/>
      <w:lvlText w:val="%9."/>
      <w:lvlJc w:val="left"/>
      <w:pPr>
        <w:ind w:hanging="360" w:left="6480"/>
      </w:pPr>
      <w:rPr>
        <w:u w:val="none"/>
      </w:rPr>
    </w:lvl>
  </w:abstractNum>
  <w:abstractNum w:abstractNumId="19">
    <w:nsid w:val="5786681D"/>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20">
    <w:nsid w:val="5D181BAE"/>
    <w:multiLevelType w:val="multilevel"/>
    <w:lvl w:ilvl="0">
      <w:start w:val="1"/>
      <w:numFmt w:val="bullet"/>
      <w:suff w:val="tab"/>
      <w:lvlText w:val="-"/>
      <w:lvlJc w:val="left"/>
      <w:pPr>
        <w:ind w:hanging="360" w:left="1440"/>
      </w:pPr>
      <w:rPr>
        <w:u w:val="none"/>
      </w:rPr>
    </w:lvl>
    <w:lvl w:ilvl="1">
      <w:start w:val="1"/>
      <w:numFmt w:val="bullet"/>
      <w:suff w:val="tab"/>
      <w:lvlText w:val="-"/>
      <w:lvlJc w:val="left"/>
      <w:pPr>
        <w:ind w:hanging="360" w:left="2160"/>
      </w:pPr>
      <w:rPr>
        <w:u w:val="none"/>
      </w:rPr>
    </w:lvl>
    <w:lvl w:ilvl="2">
      <w:start w:val="1"/>
      <w:numFmt w:val="bullet"/>
      <w:suff w:val="tab"/>
      <w:lvlText w:val="-"/>
      <w:lvlJc w:val="left"/>
      <w:pPr>
        <w:ind w:hanging="360" w:left="2880"/>
      </w:pPr>
      <w:rPr>
        <w:u w:val="none"/>
      </w:rPr>
    </w:lvl>
    <w:lvl w:ilvl="3">
      <w:start w:val="1"/>
      <w:numFmt w:val="bullet"/>
      <w:suff w:val="tab"/>
      <w:lvlText w:val="-"/>
      <w:lvlJc w:val="left"/>
      <w:pPr>
        <w:ind w:hanging="360" w:left="3600"/>
      </w:pPr>
      <w:rPr>
        <w:u w:val="none"/>
      </w:rPr>
    </w:lvl>
    <w:lvl w:ilvl="4">
      <w:start w:val="1"/>
      <w:numFmt w:val="bullet"/>
      <w:suff w:val="tab"/>
      <w:lvlText w:val="-"/>
      <w:lvlJc w:val="left"/>
      <w:pPr>
        <w:ind w:hanging="360" w:left="4320"/>
      </w:pPr>
      <w:rPr>
        <w:u w:val="none"/>
      </w:rPr>
    </w:lvl>
    <w:lvl w:ilvl="5">
      <w:start w:val="1"/>
      <w:numFmt w:val="bullet"/>
      <w:suff w:val="tab"/>
      <w:lvlText w:val="-"/>
      <w:lvlJc w:val="left"/>
      <w:pPr>
        <w:ind w:hanging="360" w:left="5040"/>
      </w:pPr>
      <w:rPr>
        <w:u w:val="none"/>
      </w:rPr>
    </w:lvl>
    <w:lvl w:ilvl="6">
      <w:start w:val="1"/>
      <w:numFmt w:val="bullet"/>
      <w:suff w:val="tab"/>
      <w:lvlText w:val="-"/>
      <w:lvlJc w:val="left"/>
      <w:pPr>
        <w:ind w:hanging="360" w:left="5760"/>
      </w:pPr>
      <w:rPr>
        <w:u w:val="none"/>
      </w:rPr>
    </w:lvl>
    <w:lvl w:ilvl="7">
      <w:start w:val="1"/>
      <w:numFmt w:val="bullet"/>
      <w:suff w:val="tab"/>
      <w:lvlText w:val="-"/>
      <w:lvlJc w:val="left"/>
      <w:pPr>
        <w:ind w:hanging="360" w:left="6480"/>
      </w:pPr>
      <w:rPr>
        <w:u w:val="none"/>
      </w:rPr>
    </w:lvl>
    <w:lvl w:ilvl="8">
      <w:start w:val="1"/>
      <w:numFmt w:val="bullet"/>
      <w:suff w:val="tab"/>
      <w:lvlText w:val="-"/>
      <w:lvlJc w:val="left"/>
      <w:pPr>
        <w:ind w:hanging="360" w:left="7200"/>
      </w:pPr>
      <w:rPr>
        <w:u w:val="none"/>
      </w:rPr>
    </w:lvl>
  </w:abstractNum>
  <w:abstractNum w:abstractNumId="21">
    <w:nsid w:val="5EF519B9"/>
    <w:multiLevelType w:val="multilevel"/>
    <w:lvl w:ilvl="0">
      <w:start w:val="5"/>
      <w:numFmt w:val="decimal"/>
      <w:suff w:val="tab"/>
      <w:lvlText w:val="%1."/>
      <w:lvlJc w:val="left"/>
      <w:pPr>
        <w:ind w:hanging="360" w:left="720"/>
      </w:pPr>
      <w:rPr>
        <w:u w:val="none"/>
      </w:rPr>
    </w:lvl>
    <w:lvl w:ilvl="1">
      <w:start w:val="1"/>
      <w:numFmt w:val="lowerLetter"/>
      <w:suff w:val="tab"/>
      <w:lvlText w:val="%2."/>
      <w:lvlJc w:val="left"/>
      <w:pPr>
        <w:ind w:hanging="360" w:left="1440"/>
      </w:pPr>
      <w:rPr>
        <w:u w:val="none"/>
      </w:rPr>
    </w:lvl>
    <w:lvl w:ilvl="2">
      <w:start w:val="1"/>
      <w:numFmt w:val="lowerRoman"/>
      <w:suff w:val="tab"/>
      <w:lvlText w:val="%3."/>
      <w:lvlJc w:val="right"/>
      <w:pPr>
        <w:ind w:hanging="360" w:left="2160"/>
      </w:pPr>
      <w:rPr>
        <w:u w:val="none"/>
      </w:rPr>
    </w:lvl>
    <w:lvl w:ilvl="3">
      <w:start w:val="1"/>
      <w:numFmt w:val="decimal"/>
      <w:suff w:val="tab"/>
      <w:lvlText w:val="%4."/>
      <w:lvlJc w:val="left"/>
      <w:pPr>
        <w:ind w:hanging="360" w:left="2880"/>
      </w:pPr>
      <w:rPr>
        <w:u w:val="none"/>
      </w:rPr>
    </w:lvl>
    <w:lvl w:ilvl="4">
      <w:start w:val="1"/>
      <w:numFmt w:val="lowerLetter"/>
      <w:suff w:val="tab"/>
      <w:lvlText w:val="%5."/>
      <w:lvlJc w:val="left"/>
      <w:pPr>
        <w:ind w:hanging="360" w:left="3600"/>
      </w:pPr>
      <w:rPr>
        <w:u w:val="none"/>
      </w:rPr>
    </w:lvl>
    <w:lvl w:ilvl="5">
      <w:start w:val="1"/>
      <w:numFmt w:val="lowerRoman"/>
      <w:suff w:val="tab"/>
      <w:lvlText w:val="%6."/>
      <w:lvlJc w:val="right"/>
      <w:pPr>
        <w:ind w:hanging="360" w:left="4320"/>
      </w:pPr>
      <w:rPr>
        <w:u w:val="none"/>
      </w:rPr>
    </w:lvl>
    <w:lvl w:ilvl="6">
      <w:start w:val="1"/>
      <w:numFmt w:val="decimal"/>
      <w:suff w:val="tab"/>
      <w:lvlText w:val="%7."/>
      <w:lvlJc w:val="left"/>
      <w:pPr>
        <w:ind w:hanging="360" w:left="5040"/>
      </w:pPr>
      <w:rPr>
        <w:u w:val="none"/>
      </w:rPr>
    </w:lvl>
    <w:lvl w:ilvl="7">
      <w:start w:val="1"/>
      <w:numFmt w:val="lowerLetter"/>
      <w:suff w:val="tab"/>
      <w:lvlText w:val="%8."/>
      <w:lvlJc w:val="left"/>
      <w:pPr>
        <w:ind w:hanging="360" w:left="5760"/>
      </w:pPr>
      <w:rPr>
        <w:u w:val="none"/>
      </w:rPr>
    </w:lvl>
    <w:lvl w:ilvl="8">
      <w:start w:val="1"/>
      <w:numFmt w:val="lowerRoman"/>
      <w:suff w:val="tab"/>
      <w:lvlText w:val="%9."/>
      <w:lvlJc w:val="right"/>
      <w:pPr>
        <w:ind w:hanging="360" w:left="6480"/>
      </w:pPr>
      <w:rPr>
        <w:u w:val="none"/>
      </w:rPr>
    </w:lvl>
  </w:abstractNum>
  <w:abstractNum w:abstractNumId="22">
    <w:nsid w:val="5F673C29"/>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23">
    <w:nsid w:val="62837956"/>
    <w:multiLevelType w:val="multilevel"/>
    <w:lvl w:ilvl="0">
      <w:start w:val="1"/>
      <w:numFmt w:val="decimal"/>
      <w:suff w:val="tab"/>
      <w:lvlText w:val="%1."/>
      <w:lvlJc w:val="left"/>
      <w:pPr>
        <w:ind w:hanging="360" w:left="720"/>
      </w:pPr>
      <w:rPr>
        <w:rFonts w:ascii="Times New Roman" w:hAnsi="Times New Roman"/>
        <w:b w:val="1"/>
        <w:sz w:val="24"/>
        <w:szCs w:val="24"/>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632838F9"/>
    <w:multiLevelType w:val="multilevel"/>
    <w:lvl w:ilvl="0">
      <w:start w:val="1"/>
      <w:numFmt w:val="bullet"/>
      <w:suff w:val="tab"/>
      <w:lvlText w:val="-"/>
      <w:lvlJc w:val="left"/>
      <w:pPr>
        <w:ind w:hanging="360" w:left="1440"/>
      </w:pPr>
      <w:rPr>
        <w:u w:val="none"/>
      </w:rPr>
    </w:lvl>
    <w:lvl w:ilvl="1">
      <w:start w:val="1"/>
      <w:numFmt w:val="bullet"/>
      <w:suff w:val="tab"/>
      <w:lvlText w:val="-"/>
      <w:lvlJc w:val="left"/>
      <w:pPr>
        <w:ind w:hanging="360" w:left="2160"/>
      </w:pPr>
      <w:rPr>
        <w:u w:val="none"/>
      </w:rPr>
    </w:lvl>
    <w:lvl w:ilvl="2">
      <w:start w:val="1"/>
      <w:numFmt w:val="bullet"/>
      <w:suff w:val="tab"/>
      <w:lvlText w:val="-"/>
      <w:lvlJc w:val="left"/>
      <w:pPr>
        <w:ind w:hanging="360" w:left="2880"/>
      </w:pPr>
      <w:rPr>
        <w:u w:val="none"/>
      </w:rPr>
    </w:lvl>
    <w:lvl w:ilvl="3">
      <w:start w:val="1"/>
      <w:numFmt w:val="bullet"/>
      <w:suff w:val="tab"/>
      <w:lvlText w:val="-"/>
      <w:lvlJc w:val="left"/>
      <w:pPr>
        <w:ind w:hanging="360" w:left="3600"/>
      </w:pPr>
      <w:rPr>
        <w:u w:val="none"/>
      </w:rPr>
    </w:lvl>
    <w:lvl w:ilvl="4">
      <w:start w:val="1"/>
      <w:numFmt w:val="bullet"/>
      <w:suff w:val="tab"/>
      <w:lvlText w:val="-"/>
      <w:lvlJc w:val="left"/>
      <w:pPr>
        <w:ind w:hanging="360" w:left="4320"/>
      </w:pPr>
      <w:rPr>
        <w:u w:val="none"/>
      </w:rPr>
    </w:lvl>
    <w:lvl w:ilvl="5">
      <w:start w:val="1"/>
      <w:numFmt w:val="bullet"/>
      <w:suff w:val="tab"/>
      <w:lvlText w:val="-"/>
      <w:lvlJc w:val="left"/>
      <w:pPr>
        <w:ind w:hanging="360" w:left="5040"/>
      </w:pPr>
      <w:rPr>
        <w:u w:val="none"/>
      </w:rPr>
    </w:lvl>
    <w:lvl w:ilvl="6">
      <w:start w:val="1"/>
      <w:numFmt w:val="bullet"/>
      <w:suff w:val="tab"/>
      <w:lvlText w:val="-"/>
      <w:lvlJc w:val="left"/>
      <w:pPr>
        <w:ind w:hanging="360" w:left="5760"/>
      </w:pPr>
      <w:rPr>
        <w:u w:val="none"/>
      </w:rPr>
    </w:lvl>
    <w:lvl w:ilvl="7">
      <w:start w:val="1"/>
      <w:numFmt w:val="bullet"/>
      <w:suff w:val="tab"/>
      <w:lvlText w:val="-"/>
      <w:lvlJc w:val="left"/>
      <w:pPr>
        <w:ind w:hanging="360" w:left="6480"/>
      </w:pPr>
      <w:rPr>
        <w:u w:val="none"/>
      </w:rPr>
    </w:lvl>
    <w:lvl w:ilvl="8">
      <w:start w:val="1"/>
      <w:numFmt w:val="bullet"/>
      <w:suff w:val="tab"/>
      <w:lvlText w:val="-"/>
      <w:lvlJc w:val="left"/>
      <w:pPr>
        <w:ind w:hanging="360" w:left="7200"/>
      </w:pPr>
      <w:rPr>
        <w:u w:val="none"/>
      </w:rPr>
    </w:lvl>
  </w:abstractNum>
  <w:abstractNum w:abstractNumId="25">
    <w:nsid w:val="63933D7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654E1B6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6A8A0278"/>
    <w:multiLevelType w:val="multilevel"/>
    <w:lvl w:ilvl="0">
      <w:start w:val="1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6C110417"/>
    <w:multiLevelType w:val="multilevel"/>
    <w:lvl w:ilvl="0">
      <w:start w:val="1"/>
      <w:numFmt w:val="decimal"/>
      <w:suff w:val="tab"/>
      <w:lvlText w:val="%1."/>
      <w:lvlJc w:val="left"/>
      <w:pPr>
        <w:ind w:hanging="360" w:left="720"/>
      </w:pPr>
      <w:rPr>
        <w:u w:val="none"/>
      </w:rPr>
    </w:lvl>
    <w:lvl w:ilvl="1">
      <w:start w:val="1"/>
      <w:numFmt w:val="lowerLetter"/>
      <w:suff w:val="tab"/>
      <w:lvlText w:val="%2."/>
      <w:lvlJc w:val="left"/>
      <w:pPr>
        <w:ind w:hanging="360" w:left="1440"/>
      </w:pPr>
      <w:rPr>
        <w:u w:val="none"/>
      </w:rPr>
    </w:lvl>
    <w:lvl w:ilvl="2">
      <w:start w:val="1"/>
      <w:numFmt w:val="lowerRoman"/>
      <w:suff w:val="tab"/>
      <w:lvlText w:val="%3."/>
      <w:lvlJc w:val="right"/>
      <w:pPr>
        <w:ind w:hanging="360" w:left="2160"/>
      </w:pPr>
      <w:rPr>
        <w:u w:val="none"/>
      </w:rPr>
    </w:lvl>
    <w:lvl w:ilvl="3">
      <w:start w:val="1"/>
      <w:numFmt w:val="decimal"/>
      <w:suff w:val="tab"/>
      <w:lvlText w:val="%4."/>
      <w:lvlJc w:val="left"/>
      <w:pPr>
        <w:ind w:hanging="360" w:left="2880"/>
      </w:pPr>
      <w:rPr>
        <w:u w:val="none"/>
      </w:rPr>
    </w:lvl>
    <w:lvl w:ilvl="4">
      <w:start w:val="1"/>
      <w:numFmt w:val="lowerLetter"/>
      <w:suff w:val="tab"/>
      <w:lvlText w:val="%5."/>
      <w:lvlJc w:val="left"/>
      <w:pPr>
        <w:ind w:hanging="360" w:left="3600"/>
      </w:pPr>
      <w:rPr>
        <w:u w:val="none"/>
      </w:rPr>
    </w:lvl>
    <w:lvl w:ilvl="5">
      <w:start w:val="1"/>
      <w:numFmt w:val="lowerRoman"/>
      <w:suff w:val="tab"/>
      <w:lvlText w:val="%6."/>
      <w:lvlJc w:val="right"/>
      <w:pPr>
        <w:ind w:hanging="360" w:left="4320"/>
      </w:pPr>
      <w:rPr>
        <w:u w:val="none"/>
      </w:rPr>
    </w:lvl>
    <w:lvl w:ilvl="6">
      <w:start w:val="1"/>
      <w:numFmt w:val="decimal"/>
      <w:suff w:val="tab"/>
      <w:lvlText w:val="%7."/>
      <w:lvlJc w:val="left"/>
      <w:pPr>
        <w:ind w:hanging="360" w:left="5040"/>
      </w:pPr>
      <w:rPr>
        <w:u w:val="none"/>
      </w:rPr>
    </w:lvl>
    <w:lvl w:ilvl="7">
      <w:start w:val="1"/>
      <w:numFmt w:val="lowerLetter"/>
      <w:suff w:val="tab"/>
      <w:lvlText w:val="%8."/>
      <w:lvlJc w:val="left"/>
      <w:pPr>
        <w:ind w:hanging="360" w:left="5760"/>
      </w:pPr>
      <w:rPr>
        <w:u w:val="none"/>
      </w:rPr>
    </w:lvl>
    <w:lvl w:ilvl="8">
      <w:start w:val="1"/>
      <w:numFmt w:val="lowerRoman"/>
      <w:suff w:val="tab"/>
      <w:lvlText w:val="%9."/>
      <w:lvlJc w:val="right"/>
      <w:pPr>
        <w:ind w:hanging="360" w:left="6480"/>
      </w:pPr>
      <w:rPr>
        <w:u w:val="none"/>
      </w:rPr>
    </w:lvl>
  </w:abstractNum>
  <w:abstractNum w:abstractNumId="29">
    <w:nsid w:val="6C414B49"/>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pPr>
      <w:rPr/>
    </w:lvl>
    <w:lvl w:ilvl="2">
      <w:start w:val="1"/>
      <w:numFmt w:val="decimal"/>
      <w:suff w:val="tab"/>
      <w:lvlText w:val="%3."/>
      <w:lvlJc w:val="left"/>
      <w:pPr>
        <w:ind w:hanging="360" w:left="2160"/>
      </w:pPr>
      <w:rPr/>
    </w:lvl>
    <w:lvl w:ilvl="3">
      <w:start w:val="1"/>
      <w:numFmt w:val="decimal"/>
      <w:suff w:val="tab"/>
      <w:lvlText w:val="%4."/>
      <w:lvlJc w:val="left"/>
      <w:pPr>
        <w:ind w:hanging="360" w:left="2880"/>
      </w:pPr>
      <w:rPr/>
    </w:lvl>
    <w:lvl w:ilvl="4">
      <w:start w:val="1"/>
      <w:numFmt w:val="decimal"/>
      <w:suff w:val="tab"/>
      <w:lvlText w:val="%5."/>
      <w:lvlJc w:val="left"/>
      <w:pPr>
        <w:ind w:hanging="360" w:left="3600"/>
      </w:pPr>
      <w:rPr/>
    </w:lvl>
    <w:lvl w:ilvl="5">
      <w:start w:val="1"/>
      <w:numFmt w:val="decimal"/>
      <w:suff w:val="tab"/>
      <w:lvlText w:val="%6."/>
      <w:lvlJc w:val="left"/>
      <w:pPr>
        <w:ind w:hanging="360" w:left="4320"/>
      </w:pPr>
      <w:rPr/>
    </w:lvl>
    <w:lvl w:ilvl="6">
      <w:start w:val="1"/>
      <w:numFmt w:val="decimal"/>
      <w:suff w:val="tab"/>
      <w:lvlText w:val="%7."/>
      <w:lvlJc w:val="left"/>
      <w:pPr>
        <w:ind w:hanging="360" w:left="5040"/>
      </w:pPr>
      <w:rPr/>
    </w:lvl>
    <w:lvl w:ilvl="7">
      <w:start w:val="1"/>
      <w:numFmt w:val="decimal"/>
      <w:suff w:val="tab"/>
      <w:lvlText w:val="%8."/>
      <w:lvlJc w:val="left"/>
      <w:pPr>
        <w:ind w:hanging="360" w:left="5760"/>
      </w:pPr>
      <w:rPr/>
    </w:lvl>
    <w:lvl w:ilvl="8">
      <w:start w:val="1"/>
      <w:numFmt w:val="decimal"/>
      <w:suff w:val="tab"/>
      <w:lvlText w:val="%9."/>
      <w:lvlJc w:val="left"/>
      <w:pPr>
        <w:ind w:hanging="360" w:left="6480"/>
      </w:pPr>
      <w:rPr/>
    </w:lvl>
  </w:abstractNum>
  <w:abstractNum w:abstractNumId="30">
    <w:nsid w:val="7E5B3538"/>
    <w:multiLevelType w:val="multilevel"/>
    <w:lvl w:ilvl="0">
      <w:start w:val="13"/>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29"/>
  </w:num>
  <w:num w:numId="2">
    <w:abstractNumId w:val="4"/>
  </w:num>
  <w:num w:numId="3">
    <w:abstractNumId w:val="10"/>
  </w:num>
  <w:num w:numId="4">
    <w:abstractNumId w:val="30"/>
  </w:num>
  <w:num w:numId="5">
    <w:abstractNumId w:val="0"/>
  </w:num>
  <w:num w:numId="6">
    <w:abstractNumId w:val="16"/>
  </w:num>
  <w:num w:numId="7">
    <w:abstractNumId w:val="14"/>
  </w:num>
  <w:num w:numId="8">
    <w:abstractNumId w:val="23"/>
  </w:num>
  <w:num w:numId="9">
    <w:abstractNumId w:val="7"/>
  </w:num>
  <w:num w:numId="10">
    <w:abstractNumId w:val="26"/>
  </w:num>
  <w:num w:numId="11">
    <w:abstractNumId w:val="13"/>
  </w:num>
  <w:num w:numId="12">
    <w:abstractNumId w:val="21"/>
  </w:num>
  <w:num w:numId="13">
    <w:abstractNumId w:val="24"/>
  </w:num>
  <w:num w:numId="14">
    <w:abstractNumId w:val="19"/>
  </w:num>
  <w:num w:numId="15">
    <w:abstractNumId w:val="8"/>
  </w:num>
  <w:num w:numId="16">
    <w:abstractNumId w:val="22"/>
  </w:num>
  <w:num w:numId="17">
    <w:abstractNumId w:val="3"/>
  </w:num>
  <w:num w:numId="18">
    <w:abstractNumId w:val="5"/>
  </w:num>
  <w:num w:numId="19">
    <w:abstractNumId w:val="20"/>
  </w:num>
  <w:num w:numId="20">
    <w:abstractNumId w:val="17"/>
  </w:num>
  <w:num w:numId="21">
    <w:abstractNumId w:val="6"/>
  </w:num>
  <w:num w:numId="22">
    <w:abstractNumId w:val="2"/>
  </w:num>
  <w:num w:numId="23">
    <w:abstractNumId w:val="9"/>
  </w:num>
  <w:num w:numId="24">
    <w:abstractNumId w:val="27"/>
  </w:num>
  <w:num w:numId="25">
    <w:abstractNumId w:val="12"/>
  </w:num>
  <w:num w:numId="26">
    <w:abstractNumId w:val="28"/>
  </w:num>
  <w:num w:numId="27">
    <w:abstractNumId w:val="18"/>
  </w:num>
  <w:num w:numId="28">
    <w:abstractNumId w:val="11"/>
  </w:num>
  <w:num w:numId="29">
    <w:abstractNumId w:val="15"/>
  </w:num>
  <w:num w:numId="30">
    <w:abstractNumId w:val="25"/>
  </w:num>
  <w:num w:numId="31">
    <w:abstractNumId w:val="1"/>
  </w:num>
</w:numbering>
</file>

<file path=word/settings.xml><?xml version="1.0" encoding="utf-8"?>
<w:settings xmlns:w="http://schemas.openxmlformats.org/wordprocessingml/2006/main">
  <w:displayBackgroundShape w:val="0"/>
  <w:defaultTabStop w:val="720"/>
  <w:autoHyphenation w:val="0"/>
  <w:hyphenationZone w:val="425"/>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uk-UA" w:bidi="ar-SA" w:eastAsia="uk-UA"/>
      </w:rPr>
    </w:rPrDefault>
    <w:pPrDefault>
      <w:pPr>
        <w:keepNext w:val="0"/>
        <w:keepLines w:val="0"/>
        <w:pageBreakBefore w:val="0"/>
        <w:widowControl w:val="1"/>
        <w:suppressLineNumbers w:val="0"/>
        <w:shd w:val="clear" w:fill="auto"/>
        <w:suppressAutoHyphens w:val="0"/>
        <w:spacing w:lineRule="auto" w:line="259" w:before="0" w:after="16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ing 1"/>
    <w:basedOn w:val="P0"/>
    <w:next w:val="P0"/>
    <w:qFormat/>
    <w:pPr>
      <w:keepNext w:val="1"/>
      <w:keepLines w:val="1"/>
      <w:spacing w:before="480" w:after="120" w:beforeAutospacing="0" w:afterAutospacing="0"/>
      <w:outlineLvl w:val="0"/>
    </w:pPr>
    <w:rPr>
      <w:b w:val="1"/>
      <w:sz w:val="48"/>
      <w:szCs w:val="48"/>
    </w:rPr>
  </w:style>
  <w:style w:type="paragraph" w:styleId="P2">
    <w:name w:val="heading 2"/>
    <w:basedOn w:val="P0"/>
    <w:next w:val="P0"/>
    <w:qFormat/>
    <w:pPr>
      <w:keepNext w:val="1"/>
      <w:keepLines w:val="1"/>
      <w:spacing w:before="360" w:after="80" w:beforeAutospacing="0" w:afterAutospacing="0"/>
      <w:outlineLvl w:val="1"/>
    </w:pPr>
    <w:rPr>
      <w:b w:val="1"/>
      <w:sz w:val="36"/>
      <w:szCs w:val="36"/>
    </w:rPr>
  </w:style>
  <w:style w:type="paragraph" w:styleId="P3">
    <w:name w:val="heading 3"/>
    <w:basedOn w:val="P0"/>
    <w:next w:val="P0"/>
    <w:semiHidden/>
    <w:qFormat/>
    <w:pPr>
      <w:keepNext w:val="1"/>
      <w:keepLines w:val="1"/>
      <w:spacing w:before="280" w:after="80" w:beforeAutospacing="0" w:afterAutospacing="0"/>
      <w:outlineLvl w:val="2"/>
    </w:pPr>
    <w:rPr>
      <w:b w:val="1"/>
      <w:sz w:val="28"/>
      <w:szCs w:val="28"/>
    </w:rPr>
  </w:style>
  <w:style w:type="paragraph" w:styleId="P4">
    <w:name w:val="heading 4"/>
    <w:basedOn w:val="P0"/>
    <w:next w:val="P0"/>
    <w:semiHidden/>
    <w:qFormat/>
    <w:pPr>
      <w:keepNext w:val="1"/>
      <w:keepLines w:val="1"/>
      <w:spacing w:before="240" w:after="40" w:beforeAutospacing="0" w:afterAutospacing="0"/>
      <w:outlineLvl w:val="3"/>
    </w:pPr>
    <w:rPr>
      <w:b w:val="1"/>
      <w:sz w:val="24"/>
      <w:szCs w:val="24"/>
    </w:rPr>
  </w:style>
  <w:style w:type="paragraph" w:styleId="P5">
    <w:name w:val="heading 5"/>
    <w:basedOn w:val="P0"/>
    <w:next w:val="P0"/>
    <w:semiHidden/>
    <w:qFormat/>
    <w:pPr>
      <w:keepNext w:val="1"/>
      <w:keepLines w:val="1"/>
      <w:spacing w:before="220" w:after="40" w:beforeAutospacing="0" w:afterAutospacing="0"/>
      <w:outlineLvl w:val="4"/>
    </w:pPr>
    <w:rPr>
      <w:b w:val="1"/>
    </w:rPr>
  </w:style>
  <w:style w:type="paragraph" w:styleId="P6">
    <w:name w:val="heading 6"/>
    <w:basedOn w:val="P0"/>
    <w:next w:val="P0"/>
    <w:semiHidden/>
    <w:qFormat/>
    <w:pPr>
      <w:keepNext w:val="1"/>
      <w:keepLines w:val="1"/>
      <w:spacing w:before="200" w:after="40" w:beforeAutospacing="0" w:afterAutospacing="0"/>
      <w:outlineLvl w:val="5"/>
    </w:pPr>
    <w:rPr>
      <w:b w:val="1"/>
      <w:sz w:val="20"/>
      <w:szCs w:val="20"/>
    </w:rPr>
  </w:style>
  <w:style w:type="paragraph" w:styleId="P7">
    <w:name w:val="Title"/>
    <w:basedOn w:val="P0"/>
    <w:next w:val="P0"/>
    <w:qFormat/>
    <w:pPr>
      <w:keepNext w:val="1"/>
      <w:keepLines w:val="1"/>
      <w:spacing w:before="480" w:after="120" w:beforeAutospacing="0" w:afterAutospacing="0"/>
    </w:pPr>
    <w:rPr>
      <w:b w:val="1"/>
      <w:sz w:val="72"/>
      <w:szCs w:val="72"/>
    </w:rPr>
  </w:style>
  <w:style w:type="paragraph" w:styleId="P8">
    <w:name w:val="Normal (Web)"/>
    <w:basedOn w:val="P0"/>
    <w:semiHidden/>
    <w:pPr>
      <w:spacing w:lineRule="auto" w:line="240" w:before="100" w:after="100" w:beforeAutospacing="1" w:afterAutospacing="1"/>
    </w:pPr>
    <w:rPr>
      <w:rFonts w:ascii="Times New Roman" w:hAnsi="Times New Roman"/>
      <w:sz w:val="24"/>
      <w:szCs w:val="24"/>
    </w:rPr>
  </w:style>
  <w:style w:type="paragraph" w:styleId="P9">
    <w:name w:val="annotation text"/>
    <w:basedOn w:val="P0"/>
    <w:link w:val="C5"/>
    <w:semiHidden/>
    <w:pPr>
      <w:spacing w:lineRule="auto" w:line="240" w:beforeAutospacing="0" w:afterAutospacing="0"/>
    </w:pPr>
    <w:rPr>
      <w:sz w:val="20"/>
      <w:szCs w:val="20"/>
    </w:rPr>
  </w:style>
  <w:style w:type="paragraph" w:styleId="P10">
    <w:name w:val="annotation subject"/>
    <w:basedOn w:val="P9"/>
    <w:next w:val="P9"/>
    <w:link w:val="C6"/>
    <w:semiHidden/>
    <w:pPr/>
    <w:rPr>
      <w:b w:val="1"/>
      <w:bCs w:val="1"/>
    </w:rPr>
  </w:style>
  <w:style w:type="paragraph" w:styleId="P11">
    <w:name w:val="rvps2"/>
    <w:basedOn w:val="P0"/>
    <w:pPr>
      <w:spacing w:lineRule="auto" w:line="240" w:before="100" w:after="100" w:beforeAutospacing="1" w:afterAutospacing="1"/>
    </w:pPr>
    <w:rPr>
      <w:rFonts w:ascii="Times New Roman" w:hAnsi="Times New Roman"/>
      <w:sz w:val="24"/>
      <w:szCs w:val="24"/>
    </w:rPr>
  </w:style>
  <w:style w:type="paragraph" w:styleId="P12">
    <w:name w:val="Subtitle"/>
    <w:basedOn w:val="P0"/>
    <w:next w:val="P0"/>
    <w:qFormat/>
    <w:pPr>
      <w:keepNext w:val="1"/>
      <w:keepLines w:val="1"/>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before="360" w:after="80" w:beforeAutospacing="0" w:afterAutospacing="0"/>
    </w:pPr>
    <w:rPr>
      <w:rFonts w:ascii="Georgia" w:hAnsi="Georgia"/>
      <w:i w:val="1"/>
      <w:color w:val="666666"/>
      <w:sz w:val="48"/>
      <w:szCs w:val="48"/>
    </w:rPr>
  </w:style>
  <w:style w:type="character" w:styleId="C0" w:default="1">
    <w:name w:val="Default Paragraph Font"/>
    <w:semiHidden/>
    <w:rPr/>
  </w:style>
  <w:style w:type="character" w:styleId="C1">
    <w:name w:val="Line Number"/>
    <w:basedOn w:val="C0"/>
    <w:semiHidden/>
    <w:rPr/>
  </w:style>
  <w:style w:type="character" w:styleId="C2">
    <w:name w:val="Hyperlink"/>
    <w:basedOn w:val="C0"/>
    <w:semiHidden/>
    <w:rPr>
      <w:color w:val="0000FF"/>
      <w:u w:val="single"/>
    </w:rPr>
  </w:style>
  <w:style w:type="character" w:styleId="C3">
    <w:name w:val="apple-tab-span"/>
    <w:basedOn w:val="C0"/>
    <w:rPr/>
  </w:style>
  <w:style w:type="character" w:styleId="C4">
    <w:name w:val="annotation reference"/>
    <w:basedOn w:val="C0"/>
    <w:semiHidden/>
    <w:rPr>
      <w:sz w:val="16"/>
      <w:szCs w:val="16"/>
    </w:rPr>
  </w:style>
  <w:style w:type="character" w:styleId="C5">
    <w:name w:val="Текст примітки Знак"/>
    <w:basedOn w:val="C0"/>
    <w:link w:val="P9"/>
    <w:semiHidden/>
    <w:rPr>
      <w:sz w:val="20"/>
      <w:szCs w:val="20"/>
    </w:rPr>
  </w:style>
  <w:style w:type="character" w:styleId="C6">
    <w:name w:val="Тема примітки Знак"/>
    <w:basedOn w:val="C5"/>
    <w:link w:val="P10"/>
    <w:semiHidden/>
    <w:rPr>
      <w:b w:val="1"/>
      <w:bCs w:val="1"/>
      <w:sz w:val="20"/>
      <w:szCs w:val="20"/>
    </w:rPr>
  </w:style>
  <w:style w:type="character" w:styleId="C7">
    <w:name w:val="rvts46"/>
    <w:basedOn w:val="C0"/>
    <w:rPr/>
  </w:style>
  <w:style w:type="character" w:styleId="C8">
    <w:name w:val="rvts11"/>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CellMar>
        <w:top w:w="0" w:type="dxa"/>
        <w:left w:w="0" w:type="dxa"/>
        <w:bottom w:w="0" w:type="dxa"/>
        <w:right w:w="0" w:type="dxa"/>
      </w:tblCellMar>
    </w:tblPr>
    <w:trPr/>
    <w:tcPr/>
  </w:style>
  <w:style w:type="table" w:styleId="T3">
    <w:name w:val=""/>
    <w:basedOn w:val="T2"/>
    <w:tblPr>
      <w:tblStyleRowBandSize w:val="1"/>
      <w:tblStyleColBandSize w:val="1"/>
      <w:tblCellMar>
        <w:top w:w="100" w:type="dxa"/>
        <w:left w:w="100" w:type="dxa"/>
        <w:bottom w:w="100" w:type="dxa"/>
        <w:right w:w="100"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TYWhuPiBZYb0vcHDVzLEVi6Gpg==">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</go:docsCustomData>
</go:gDocsCustomXmlDataStorage>
</file>

<file path=customXml/itemProps1.xml><?xml version="1.0" encoding="utf-8"?>
<ds:datastoreItem xmlns:ds="http://schemas.openxmlformats.org/officeDocument/2006/customXml" ds:itemID="{11111111-1234-1234-1234-123412341234}">
  <ds:schemaRefs>
    <ds:schemaRef ds:uri="http://schemas.microsoft.com/vsto/samples"/>
  </ds:schemaRefs>
</ds:datastoreItem>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Елена Ковалёва</dc:creator>
  <dcterms:created xsi:type="dcterms:W3CDTF">2024-07-01T14:42:00Z</dcterms:created>
  <cp:lastModifiedBy>pool-iis</cp:lastModifiedBy>
  <dcterms:modified xsi:type="dcterms:W3CDTF">2024-07-01T14:43:22Z</dcterms:modified>
  <cp:revision>3</cp:revision>
</cp:coreProperties>
</file>